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2B9A">
      <w:pPr>
        <w:ind w:firstLine="0" w:firstLineChars="0"/>
        <w:rPr>
          <w:rFonts w:ascii="Times New Roman" w:hAnsi="Times New Roman" w:eastAsia="黑体" w:cs="Times New Roman"/>
          <w:color w:val="auto"/>
        </w:rPr>
      </w:pPr>
    </w:p>
    <w:p w14:paraId="29BA7436">
      <w:pPr>
        <w:ind w:firstLine="0" w:firstLineChars="0"/>
        <w:rPr>
          <w:rFonts w:ascii="Times New Roman" w:hAnsi="Times New Roman" w:eastAsia="黑体" w:cs="Times New Roman"/>
          <w:color w:val="auto"/>
        </w:rPr>
      </w:pPr>
    </w:p>
    <w:p w14:paraId="7108F71C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2026年国家社会科学基金教育学重大项目</w:t>
      </w:r>
    </w:p>
    <w:p w14:paraId="7FFCCF8D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选题指南</w:t>
      </w:r>
    </w:p>
    <w:p w14:paraId="20B34119">
      <w:pPr>
        <w:ind w:firstLine="0" w:firstLineChars="0"/>
        <w:rPr>
          <w:color w:val="auto"/>
        </w:rPr>
      </w:pPr>
    </w:p>
    <w:p w14:paraId="17D50CB7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本年度国家社会科学基金教育学重大项目总体上延续“命题作文”方式，提供指南及其意图。申请者也可自选题目申报。鼓励多学科、跨学科合作申报。评审采取招标答辩方式，优中选优，宁缺毋滥。重大项目应用性研究一般应在2-3年完成，基础性研究最长不得超过5年。</w:t>
      </w:r>
    </w:p>
    <w:p w14:paraId="63557789">
      <w:pPr>
        <w:ind w:firstLine="0" w:firstLineChars="0"/>
        <w:rPr>
          <w:rFonts w:hint="eastAsia" w:ascii="仿宋_GB2312" w:hAnsi="仿宋_GB2312" w:eastAsia="仿宋_GB2312" w:cs="仿宋_GB2312"/>
          <w:color w:val="auto"/>
        </w:rPr>
      </w:pPr>
    </w:p>
    <w:p w14:paraId="60D79F4E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教育强国建设监测评价研究</w:t>
      </w:r>
    </w:p>
    <w:p w14:paraId="4B0759B0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（1）建构监测的指标体系；（2）研发核心数据整合分析技术；（3）挖掘各地各校实践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</w:rPr>
        <w:t>探索典型经验；（4）形成监测评价报告。</w:t>
      </w:r>
    </w:p>
    <w:p w14:paraId="7408936B">
      <w:pPr>
        <w:spacing w:line="60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7E2E2413">
      <w:pPr>
        <w:numPr>
          <w:ilvl w:val="0"/>
          <w:numId w:val="1"/>
        </w:numPr>
        <w:ind w:left="-3" w:firstLine="643" w:firstLineChars="0"/>
        <w:rPr>
          <w:rFonts w:ascii="Times New Roman" w:hAnsi="Times New Roman" w:cs="Times New Roman"/>
          <w:b/>
          <w:bCs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</w:rPr>
        <w:t>新时代教育公平研究</w:t>
      </w:r>
    </w:p>
    <w:p w14:paraId="242B84DF">
      <w:pPr>
        <w:ind w:firstLine="320" w:firstLineChars="10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教育促进社会纵向流动现状；（2）大规模调查社会公众对教育公平的诉求，形成教育公平问题社会认知报告；（3）提出新时代促进不同学段教育公平的新举措；（4）研究教育扩大中等收入群体具体办法；（5）建构新时代我国教育公平自主知识体系。</w:t>
      </w:r>
    </w:p>
    <w:p w14:paraId="080C71F3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大中小学思政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一体化方法与路径研究</w:t>
      </w:r>
    </w:p>
    <w:p w14:paraId="607C3757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（1）研制一体化视域下的教学目标分级标准；（2）探索跨学段集体备课与协同教研机制；（3）建立一体化教学资源；（4）提炼区域整体推进一体化的典型模式。</w:t>
      </w:r>
    </w:p>
    <w:p w14:paraId="1863EA10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4C17190A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大中小学生学情调查研究</w:t>
      </w:r>
    </w:p>
    <w:p w14:paraId="2D287B70"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构建大中小学生学情监测多维评价指标体系；（2）开展全国性、跨学段的大中小学生学情大规模实证调研并建立动态基础数据库；（3）厘清学生厌学、学习动力不足及失学风险等异化学情的现状与成因；（4）绘制学生典型学情画像，开发学情风险早期预警智能系统；（5）针对异化学情群体提出分类分级的精准干预策略。</w:t>
      </w:r>
    </w:p>
    <w:p w14:paraId="05143342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72FF2DF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学生核心素养发展状况监测评价研究</w:t>
      </w:r>
    </w:p>
    <w:p w14:paraId="42931F0B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（1）研究素养与知识、能力的关系；（2）提出核心素养分水平划分标准；（3）建立核心素养发展状况监测工具开发模型；（4）建构学生核心素养发展状况的监测指标体系；（5）形成监测结果报告。</w:t>
      </w:r>
    </w:p>
    <w:p w14:paraId="211AB965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19472DB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延长义务教育年限政策保障研究</w:t>
      </w:r>
    </w:p>
    <w:p w14:paraId="5AB166AC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延长义务教育年限法治保障；（2）研究延长义务教育年限学校建设标准政策保障；（3）研究延长义务教育年限教师政策保障；（4）研究延长义务教育年限课程教材教学政策保障；（5）研究延长义务教育年限考试评价政策保障；（6）研究延长义务教育年限投入保障。</w:t>
      </w:r>
    </w:p>
    <w:p w14:paraId="62BCC03B">
      <w:pPr>
        <w:ind w:left="640" w:leftChars="200"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5588587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适应学生发展和社会发展的基础教育学制改革研究</w:t>
      </w:r>
    </w:p>
    <w:p w14:paraId="7DDD81D6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梳理全球主要国家基础教育学制改革的演变；（2）总结国外基础教育学制改革典型案例；（3）开展国内基础教育学制改革探索的系统调研；（4）诊断不同学段育人目标衔接状况；（5）提出弹性学制改革的政策建议。</w:t>
      </w:r>
    </w:p>
    <w:p w14:paraId="038C94B9">
      <w:pPr>
        <w:ind w:left="640" w:leftChars="200"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7E2778E9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全球义务教育史料研究</w:t>
      </w:r>
    </w:p>
    <w:p w14:paraId="4B568EE9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搜集有代表性的国家义务教育制度史料；（2）搜集这些国家义务教育人物史料；（3）搜集这些国家义务教育学校课程教学活动史料；（4）编纂全球义务教育史料文献；（5）建立全球义务教育史料数据库和展示平台。</w:t>
      </w:r>
    </w:p>
    <w:p w14:paraId="52B55BAE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28B16A7">
      <w:pPr>
        <w:numPr>
          <w:ilvl w:val="0"/>
          <w:numId w:val="1"/>
        </w:numPr>
        <w:ind w:left="-3" w:firstLine="643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应用型本科院校建设和发展研究</w:t>
      </w:r>
    </w:p>
    <w:p w14:paraId="7CF0C27B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分类框架下应用型本科院校评价体系；（2）开展应用型本科院校发展模式现状大调研，形成研究报告；（3）开展应用型本科院校融入区域经济社会发展国际比较研究；（4）研究应用型本科院校“教地适配”发展模式和评价标准。</w:t>
      </w:r>
    </w:p>
    <w:p w14:paraId="3B61E34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26E37FA3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颠覆性创新人才长周期培养体系研究</w:t>
      </w:r>
    </w:p>
    <w:p w14:paraId="49E9CB16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界定颠覆性创新人才的核心特质与识别标志；（2）系统调研国内外颠覆性创新人才培养的典型模式；（3）调研天才少年（U20）跨界思维、非共识性探索的核心需求；（4）提出颠覆性创新人才长周期培养机制；（5）建立跟踪颠覆性创新人才成长动态指标。</w:t>
      </w:r>
    </w:p>
    <w:p w14:paraId="258454E7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55887D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高等学校招生培养就业一体化改革研究</w:t>
      </w:r>
    </w:p>
    <w:p w14:paraId="205FF84F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毕业生就业质量评价指标体系，开展就业质量评价，形成就业质量评价报告；（2）大规模开展高校毕业生、用人单位、高等学校、政府部门等主体的改革诉求调研，建立调研数据库；（3）研制就业岗位能力标准图谱，建立岗位需求信号向招生、培养环节的传导机制；（4）挖掘一体化改革的典型案例。</w:t>
      </w:r>
    </w:p>
    <w:p w14:paraId="1CC5A0D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64B7AC58">
      <w:pPr>
        <w:numPr>
          <w:ilvl w:val="0"/>
          <w:numId w:val="1"/>
        </w:numPr>
        <w:ind w:left="-3" w:firstLine="643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中等职业教育高质量发展研究</w:t>
      </w:r>
    </w:p>
    <w:p w14:paraId="755BA92C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厘清职业教育体系中中等职业教育功能定位；（2）比较国际中等职业教育改革的典型模式；（3）聚焦关键要素创新中等职业教育人才培养模式；（4）提出破解中等职业学校产教融合不深的新举措；（5）研究中等教育结构；（6）</w:t>
      </w:r>
      <w:r>
        <w:rPr>
          <w:rFonts w:ascii="仿宋_GB2312" w:hAnsi="仿宋_GB2312" w:eastAsia="仿宋_GB2312" w:cs="仿宋_GB2312"/>
          <w:color w:val="auto"/>
        </w:rPr>
        <w:t>提出</w:t>
      </w:r>
      <w:r>
        <w:rPr>
          <w:rFonts w:hint="eastAsia" w:ascii="仿宋_GB2312" w:hAnsi="仿宋_GB2312" w:eastAsia="仿宋_GB2312" w:cs="仿宋_GB2312"/>
          <w:color w:val="auto"/>
        </w:rPr>
        <w:t>学龄</w:t>
      </w:r>
      <w:r>
        <w:rPr>
          <w:rFonts w:ascii="仿宋_GB2312" w:hAnsi="仿宋_GB2312" w:eastAsia="仿宋_GB2312" w:cs="仿宋_GB2312"/>
          <w:color w:val="auto"/>
        </w:rPr>
        <w:t>人口</w:t>
      </w:r>
      <w:r>
        <w:rPr>
          <w:rFonts w:hint="eastAsia" w:ascii="仿宋_GB2312" w:hAnsi="仿宋_GB2312" w:eastAsia="仿宋_GB2312" w:cs="仿宋_GB2312"/>
          <w:color w:val="auto"/>
        </w:rPr>
        <w:t>变动</w:t>
      </w:r>
      <w:r>
        <w:rPr>
          <w:rFonts w:ascii="仿宋_GB2312" w:hAnsi="仿宋_GB2312" w:eastAsia="仿宋_GB2312" w:cs="仿宋_GB2312"/>
          <w:color w:val="auto"/>
        </w:rPr>
        <w:t>背景下</w:t>
      </w:r>
      <w:r>
        <w:rPr>
          <w:rFonts w:hint="eastAsia" w:ascii="仿宋_GB2312" w:hAnsi="仿宋_GB2312" w:eastAsia="仿宋_GB2312" w:cs="仿宋_GB2312"/>
          <w:color w:val="auto"/>
        </w:rPr>
        <w:t>中等职业学校</w:t>
      </w:r>
      <w:r>
        <w:rPr>
          <w:rFonts w:ascii="仿宋_GB2312" w:hAnsi="仿宋_GB2312" w:eastAsia="仿宋_GB2312" w:cs="仿宋_GB2312"/>
          <w:color w:val="auto"/>
        </w:rPr>
        <w:t>布局优化方案。</w:t>
      </w:r>
    </w:p>
    <w:p w14:paraId="5875EAD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0C0F73AA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人工智能时代学习规律研究</w:t>
      </w:r>
    </w:p>
    <w:p w14:paraId="47711E57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在人工智能时代重审制度化教育和非学校化社会等理论；（2）开展技术改变教育逻辑历史研究；（3）辨析现有人工智能学习理论；（4）开展大规模AI学习行为实证调查；（5）建构智能时代学习规律本土化理论模型；（6）提出适应AI变革的学习基本命题，编著《人工智能时代学习论》；（7）在3-5个区域和学校打造新学习形态。</w:t>
      </w:r>
    </w:p>
    <w:p w14:paraId="4EE8E9E9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399FB8F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人工智能对学生思维发展影响的实验研究</w:t>
      </w:r>
    </w:p>
    <w:p w14:paraId="4DEC73CD">
      <w:pPr>
        <w:ind w:firstLine="640"/>
        <w:rPr>
          <w:rFonts w:ascii="Times New Roman" w:hAnsi="Times New Roman" w:cs="Times New Roman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（1）按照实验规范开展研究；（2）验证人工智能对学生思维发展产生影响的诸多认识；（3）提出人工智能对学生思维发展的影响因素；（4）建构人工智能影响下学生高阶思维发展模型。</w:t>
      </w:r>
    </w:p>
    <w:p w14:paraId="4A01D95A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EBEABF2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人工智能时代幼儿大脑教育开发研究</w:t>
      </w:r>
    </w:p>
    <w:p w14:paraId="33D73017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人工智能时代幼儿大脑发育规律；（2）研究人工智能驱动幼儿大脑个性化教育开发的机制；（3）研制幼儿人工智能使用分级指导标准和伦理规范；（4）建立人机协同范式下幼儿教师保教能力标准；（5）提出以幼儿大脑开发反哺人工智能突破的理论模型；（6）形成人工智能融入幼儿教育的国际比较案例库。</w:t>
      </w:r>
    </w:p>
    <w:p w14:paraId="5BE14DD3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E30D5E3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新时代教师教育体系改革研究</w:t>
      </w:r>
    </w:p>
    <w:p w14:paraId="728A4119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分类框架下师范类院校评价体系；（2）提出师范院校教师培养模式改革方案；（3）研究教师培养环节人工智能素养能力标准；（4）总结我国“双一流”综合性大学开展教师教育经验；（5）实施世界一流大学开展教师教育模式国别比较研究。</w:t>
      </w:r>
    </w:p>
    <w:p w14:paraId="3CF061E8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6CE8C4A4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民办教育战略重塑研究</w:t>
      </w:r>
    </w:p>
    <w:p w14:paraId="38CCACBB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（1）开展民办教育社会化认同调研；（2）分析民办教育发挥战略功能的领域；（3）结合学龄人口变动开展各级各类教育中民办教育需求调查；（4）提出发挥民办教育战略功能的政策建议。</w:t>
      </w:r>
    </w:p>
    <w:p w14:paraId="1F0B642B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30E7E1F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适应学龄人口变动的教育经费分配新机制研究</w:t>
      </w:r>
    </w:p>
    <w:p w14:paraId="2E091D17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判学龄人口变动下教育财政投入风险；（2）研究义务教育“钱随人走”实施路径；（3）提出加大教育投入强度的新举措；（4）提出优化教育经费支出结构的办法；（5）设计贯穿全生命周期的教育预算绩效管理体系。</w:t>
      </w:r>
    </w:p>
    <w:p w14:paraId="2EADCD2E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5CA51EAC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港澳高等教育融入教育强国建设的政策与路径研究</w:t>
      </w:r>
    </w:p>
    <w:p w14:paraId="459698D5">
      <w:pPr>
        <w:ind w:firstLine="640" w:firstLineChars="0"/>
        <w:rPr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评估港澳高等教育发展现状；（2）探究破除融入制度型障碍的政策体系，重点研究科研要素跨境流动、教育认证衔接及重大科技攻关参与机制；（3）研究粤港澳高等教育协同发展的长效机制；（4）提出港澳高等教育融入教育强国建设的阶段性演进路径。</w:t>
      </w:r>
    </w:p>
    <w:p w14:paraId="3D71EFE2">
      <w:pPr>
        <w:ind w:firstLine="0" w:firstLineChars="0"/>
        <w:rPr>
          <w:color w:val="auto"/>
        </w:rPr>
      </w:pPr>
    </w:p>
    <w:p w14:paraId="570C7609">
      <w:pPr>
        <w:numPr>
          <w:ilvl w:val="0"/>
          <w:numId w:val="1"/>
        </w:numPr>
        <w:ind w:left="-3" w:firstLine="643" w:firstLineChars="0"/>
        <w:rPr>
          <w:rFonts w:ascii="Times New Roman" w:hAnsi="Times New Roman" w:cs="Times New Roman"/>
          <w:b/>
          <w:bCs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</w:rPr>
        <w:t>国际组织人才培养长效机制研究</w:t>
      </w:r>
    </w:p>
    <w:p w14:paraId="1419154F">
      <w:pPr>
        <w:ind w:firstLine="640"/>
        <w:rPr>
          <w:rFonts w:ascii="Times New Roman" w:hAnsi="Times New Roman" w:cs="Times New Roman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ascii="仿宋_GB2312" w:hAnsi="仿宋_GB2312" w:eastAsia="仿宋_GB2312" w:cs="仿宋_GB2312"/>
          <w:color w:val="auto"/>
        </w:rPr>
        <w:t>（1）开展中国参与全球教育治理的影响力评估；（2）系统分析当前我国国际组织人才培养推送的现状与问题；（3）研究主要发达国家国际组织人才培养推送做法和经验；（4）提出我国加强和改进国际组织人才培养推送的系统化方案。</w:t>
      </w:r>
    </w:p>
    <w:p w14:paraId="2153299B">
      <w:pPr>
        <w:ind w:firstLine="0" w:firstLineChars="0"/>
        <w:rPr>
          <w:rFonts w:hint="eastAsia" w:ascii="方正楷体_GB2312" w:hAnsi="方正楷体_GB2312" w:eastAsia="方正楷体_GB2312" w:cs="方正楷体_GB2312"/>
          <w:color w:val="auto"/>
        </w:rPr>
      </w:pPr>
    </w:p>
    <w:p w14:paraId="0E6FD1BD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2030后全球教育议程中国方案研究</w:t>
      </w:r>
    </w:p>
    <w:p w14:paraId="72CDFC80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判2030后全球教育发展方向与治理格局变化；（2）提出确立2030后全球教育议程的基本原则、优先事项和发展目标；（3）构建融合中国特色与国际共识的2030后全球教育议程框架、磋商机制与实施路径；（4）剖析联合国教科文组织等国际组织的运行机制，探索中国深度参与并引领全球教育治理的战略支撑点。</w:t>
      </w:r>
    </w:p>
    <w:p w14:paraId="635CA738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7487FEC2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学科谱系下中国教育学自主知识体系建构研究</w:t>
      </w:r>
    </w:p>
    <w:p w14:paraId="68FAB51E">
      <w:pPr>
        <w:pStyle w:val="8"/>
        <w:ind w:firstLine="640"/>
        <w:rPr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梳理教育学与相关学科的知识互动史；（2）选择文理10个学科，诊断学科建设中的教育学知识应用情况；（3）开展跨学科教育学知识供给需求调查；（4）梳理哲学社会科学自主知识体系建构主要做法和经验；（5）凝练中国教育学原创性理论；（6）探析世界范围内教育学发展趋势。</w:t>
      </w:r>
    </w:p>
    <w:p w14:paraId="7AFADF00">
      <w:pPr>
        <w:ind w:firstLine="320" w:firstLineChars="100"/>
        <w:rPr>
          <w:rFonts w:ascii="Times New Roman" w:hAnsi="Times New Roman" w:cs="Times New Roman"/>
          <w:color w:val="auto"/>
        </w:rPr>
      </w:pPr>
    </w:p>
    <w:p w14:paraId="0571896D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40E5AF7D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279BFA-79AA-40D2-A8A0-EF2402E90A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FA20352-1342-4A92-87FA-F2A83D4FF4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ED827C-373E-4FEA-A1B5-307E19C24CF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C24625B-EAAD-4E1A-9293-37EEC7BDAE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9929572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05796E3">
        <w:pPr>
          <w:pStyle w:val="3"/>
          <w:ind w:firstLine="360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hint="eastAsia"/>
            <w:lang w:eastAsia="zh-CN"/>
          </w:rPr>
          <w:t>—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  <w:r>
          <w:rPr>
            <w:rFonts w:hint="eastAsia" w:ascii="Times New Roman" w:hAnsi="Times New Roman" w:cs="Times New Roman"/>
            <w:sz w:val="22"/>
            <w:szCs w:val="22"/>
            <w:lang w:eastAsia="zh-CN"/>
          </w:rPr>
          <w:t>—</w:t>
        </w:r>
      </w:p>
    </w:sdtContent>
  </w:sdt>
  <w:p w14:paraId="0B443592">
    <w:pPr>
      <w:pStyle w:val="3"/>
      <w:ind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17765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41A9B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E333C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8B6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4C2A4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0AED8"/>
    <w:multiLevelType w:val="singleLevel"/>
    <w:tmpl w:val="28A0AED8"/>
    <w:lvl w:ilvl="0" w:tentative="0">
      <w:start w:val="1"/>
      <w:numFmt w:val="decimal"/>
      <w:suff w:val="space"/>
      <w:lvlText w:val="%1."/>
      <w:lvlJc w:val="left"/>
      <w:pPr>
        <w:ind w:left="422" w:hanging="425"/>
      </w:pPr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62043F"/>
    <w:rsid w:val="00056441"/>
    <w:rsid w:val="001164B6"/>
    <w:rsid w:val="00135758"/>
    <w:rsid w:val="00163F5C"/>
    <w:rsid w:val="001879E6"/>
    <w:rsid w:val="002864C6"/>
    <w:rsid w:val="00322A4E"/>
    <w:rsid w:val="0033040D"/>
    <w:rsid w:val="00366FD3"/>
    <w:rsid w:val="003918CE"/>
    <w:rsid w:val="003E44D1"/>
    <w:rsid w:val="00463B95"/>
    <w:rsid w:val="004C0BC1"/>
    <w:rsid w:val="00612294"/>
    <w:rsid w:val="00650522"/>
    <w:rsid w:val="006729C6"/>
    <w:rsid w:val="006E3B0B"/>
    <w:rsid w:val="00715A9E"/>
    <w:rsid w:val="00795CC9"/>
    <w:rsid w:val="00845E9D"/>
    <w:rsid w:val="0086073E"/>
    <w:rsid w:val="008D6A35"/>
    <w:rsid w:val="00960F1E"/>
    <w:rsid w:val="009B57DA"/>
    <w:rsid w:val="00A735E5"/>
    <w:rsid w:val="00AD114A"/>
    <w:rsid w:val="00B25172"/>
    <w:rsid w:val="00B621A8"/>
    <w:rsid w:val="00B63EFE"/>
    <w:rsid w:val="00B951FD"/>
    <w:rsid w:val="00BB24ED"/>
    <w:rsid w:val="00BB58AC"/>
    <w:rsid w:val="00C47283"/>
    <w:rsid w:val="00C57481"/>
    <w:rsid w:val="00C7130C"/>
    <w:rsid w:val="00C85F20"/>
    <w:rsid w:val="00D17F2E"/>
    <w:rsid w:val="00D53309"/>
    <w:rsid w:val="00DA781F"/>
    <w:rsid w:val="00DE6AD5"/>
    <w:rsid w:val="00F348F0"/>
    <w:rsid w:val="00F35D9D"/>
    <w:rsid w:val="00F50597"/>
    <w:rsid w:val="00FD2CCA"/>
    <w:rsid w:val="00FD3009"/>
    <w:rsid w:val="00FF1CA7"/>
    <w:rsid w:val="01321512"/>
    <w:rsid w:val="01453263"/>
    <w:rsid w:val="01BB3CD7"/>
    <w:rsid w:val="03AA4003"/>
    <w:rsid w:val="040B7FAD"/>
    <w:rsid w:val="05404C1F"/>
    <w:rsid w:val="05C07074"/>
    <w:rsid w:val="06072C09"/>
    <w:rsid w:val="06EC66E0"/>
    <w:rsid w:val="07603356"/>
    <w:rsid w:val="07B737E1"/>
    <w:rsid w:val="08493DEA"/>
    <w:rsid w:val="0A6B7BDA"/>
    <w:rsid w:val="0AF9109F"/>
    <w:rsid w:val="0B8A532E"/>
    <w:rsid w:val="0ECB2513"/>
    <w:rsid w:val="0FBB22DD"/>
    <w:rsid w:val="10876FE7"/>
    <w:rsid w:val="129C6D40"/>
    <w:rsid w:val="14661880"/>
    <w:rsid w:val="14996A51"/>
    <w:rsid w:val="154047C7"/>
    <w:rsid w:val="156278AF"/>
    <w:rsid w:val="15777441"/>
    <w:rsid w:val="15D91A84"/>
    <w:rsid w:val="15EA4F92"/>
    <w:rsid w:val="170535D2"/>
    <w:rsid w:val="172D33F1"/>
    <w:rsid w:val="182F6603"/>
    <w:rsid w:val="19267830"/>
    <w:rsid w:val="1AE57390"/>
    <w:rsid w:val="1B285170"/>
    <w:rsid w:val="1B4E4189"/>
    <w:rsid w:val="1B5508A0"/>
    <w:rsid w:val="1B694D12"/>
    <w:rsid w:val="1BC5537A"/>
    <w:rsid w:val="1CF60969"/>
    <w:rsid w:val="1D4C369E"/>
    <w:rsid w:val="1EC00355"/>
    <w:rsid w:val="1F2D2797"/>
    <w:rsid w:val="207B2B57"/>
    <w:rsid w:val="20C21520"/>
    <w:rsid w:val="210E01BE"/>
    <w:rsid w:val="21F91F85"/>
    <w:rsid w:val="221D20F7"/>
    <w:rsid w:val="222235CB"/>
    <w:rsid w:val="23996477"/>
    <w:rsid w:val="23E45806"/>
    <w:rsid w:val="249D12EE"/>
    <w:rsid w:val="24FD1D8D"/>
    <w:rsid w:val="25A12A6D"/>
    <w:rsid w:val="26EE796E"/>
    <w:rsid w:val="275E49DE"/>
    <w:rsid w:val="2769195B"/>
    <w:rsid w:val="2994507C"/>
    <w:rsid w:val="2ABC7FF4"/>
    <w:rsid w:val="2B473D61"/>
    <w:rsid w:val="2B4D4A0F"/>
    <w:rsid w:val="2BC730F4"/>
    <w:rsid w:val="2EC659BD"/>
    <w:rsid w:val="2FA17993"/>
    <w:rsid w:val="3062043F"/>
    <w:rsid w:val="30AD3274"/>
    <w:rsid w:val="30FF7B5C"/>
    <w:rsid w:val="31361735"/>
    <w:rsid w:val="31F108E6"/>
    <w:rsid w:val="32172601"/>
    <w:rsid w:val="334B63B9"/>
    <w:rsid w:val="33501A8D"/>
    <w:rsid w:val="3562120C"/>
    <w:rsid w:val="35B42E83"/>
    <w:rsid w:val="35C4598D"/>
    <w:rsid w:val="36161424"/>
    <w:rsid w:val="38C62D46"/>
    <w:rsid w:val="39643D30"/>
    <w:rsid w:val="3A611DB4"/>
    <w:rsid w:val="3A8E0DD5"/>
    <w:rsid w:val="3AB94550"/>
    <w:rsid w:val="3AEA2BEF"/>
    <w:rsid w:val="3BA448B8"/>
    <w:rsid w:val="3CDE3DFA"/>
    <w:rsid w:val="3CF61143"/>
    <w:rsid w:val="3F195B49"/>
    <w:rsid w:val="3F74620D"/>
    <w:rsid w:val="3FA70E1B"/>
    <w:rsid w:val="40C90989"/>
    <w:rsid w:val="413B76AF"/>
    <w:rsid w:val="41C07F72"/>
    <w:rsid w:val="421C0031"/>
    <w:rsid w:val="42BA6C89"/>
    <w:rsid w:val="430F7596"/>
    <w:rsid w:val="44C32148"/>
    <w:rsid w:val="45B87574"/>
    <w:rsid w:val="489C0441"/>
    <w:rsid w:val="48F13107"/>
    <w:rsid w:val="48F51F3E"/>
    <w:rsid w:val="49342142"/>
    <w:rsid w:val="4A9733BD"/>
    <w:rsid w:val="4AF2278F"/>
    <w:rsid w:val="4B1223EE"/>
    <w:rsid w:val="4B663938"/>
    <w:rsid w:val="4E6C1FAA"/>
    <w:rsid w:val="4ECF344E"/>
    <w:rsid w:val="50836D3A"/>
    <w:rsid w:val="52243475"/>
    <w:rsid w:val="54B83F4D"/>
    <w:rsid w:val="560146BF"/>
    <w:rsid w:val="56242D6E"/>
    <w:rsid w:val="569A22A0"/>
    <w:rsid w:val="56A966E5"/>
    <w:rsid w:val="57DC32D5"/>
    <w:rsid w:val="57DD1426"/>
    <w:rsid w:val="58813029"/>
    <w:rsid w:val="58E30CBE"/>
    <w:rsid w:val="594D6137"/>
    <w:rsid w:val="59836D38"/>
    <w:rsid w:val="59BC5CF2"/>
    <w:rsid w:val="59FE7432"/>
    <w:rsid w:val="5A584D94"/>
    <w:rsid w:val="5BAB5884"/>
    <w:rsid w:val="5C0F3B78"/>
    <w:rsid w:val="5E8A5738"/>
    <w:rsid w:val="5F2471FB"/>
    <w:rsid w:val="5FB16B5C"/>
    <w:rsid w:val="5FB213EA"/>
    <w:rsid w:val="60374270"/>
    <w:rsid w:val="604069F6"/>
    <w:rsid w:val="604272DE"/>
    <w:rsid w:val="607D2A42"/>
    <w:rsid w:val="62992B6E"/>
    <w:rsid w:val="63035B5A"/>
    <w:rsid w:val="631B69F2"/>
    <w:rsid w:val="639A641D"/>
    <w:rsid w:val="63A469EA"/>
    <w:rsid w:val="643D1673"/>
    <w:rsid w:val="646B37CD"/>
    <w:rsid w:val="64F3558A"/>
    <w:rsid w:val="65817895"/>
    <w:rsid w:val="6626043C"/>
    <w:rsid w:val="66361602"/>
    <w:rsid w:val="66E63727"/>
    <w:rsid w:val="691F746E"/>
    <w:rsid w:val="6A5E180A"/>
    <w:rsid w:val="6B15292B"/>
    <w:rsid w:val="6B656B5C"/>
    <w:rsid w:val="6B982677"/>
    <w:rsid w:val="6B9C2C1E"/>
    <w:rsid w:val="6C7843B5"/>
    <w:rsid w:val="6D150B82"/>
    <w:rsid w:val="6D596E90"/>
    <w:rsid w:val="6F31233E"/>
    <w:rsid w:val="70FB534E"/>
    <w:rsid w:val="71CF5FA5"/>
    <w:rsid w:val="720620FB"/>
    <w:rsid w:val="723366C9"/>
    <w:rsid w:val="72B17722"/>
    <w:rsid w:val="7368673A"/>
    <w:rsid w:val="73D62AD0"/>
    <w:rsid w:val="73FE47A6"/>
    <w:rsid w:val="76466F18"/>
    <w:rsid w:val="76780840"/>
    <w:rsid w:val="77933457"/>
    <w:rsid w:val="78413640"/>
    <w:rsid w:val="78462278"/>
    <w:rsid w:val="79A90D10"/>
    <w:rsid w:val="7A622A67"/>
    <w:rsid w:val="7B821819"/>
    <w:rsid w:val="7C5B0C23"/>
    <w:rsid w:val="7CC441D4"/>
    <w:rsid w:val="7CC6656F"/>
    <w:rsid w:val="7D20578D"/>
    <w:rsid w:val="7DFF610B"/>
    <w:rsid w:val="7E8776DE"/>
    <w:rsid w:val="7F6D27E0"/>
    <w:rsid w:val="7FD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/>
    </w:pPr>
  </w:style>
  <w:style w:type="paragraph" w:customStyle="1" w:styleId="9">
    <w:name w:val="修订1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0">
    <w:name w:val="修订2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1">
    <w:name w:val="修订3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2">
    <w:name w:val="页脚 字符"/>
    <w:basedOn w:val="7"/>
    <w:link w:val="3"/>
    <w:qFormat/>
    <w:uiPriority w:val="99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3086</Words>
  <Characters>3110</Characters>
  <Lines>82</Lines>
  <Paragraphs>54</Paragraphs>
  <TotalTime>3</TotalTime>
  <ScaleCrop>false</ScaleCrop>
  <LinksUpToDate>false</LinksUpToDate>
  <CharactersWithSpaces>3112</CharactersWithSpaces>
  <Application>WPS Office_12.1.0.26375_F1E327BC-269C-435d-A152-05C5408002CA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2026-04-20T06:40:00Z</dcterms:created>
  <dc:creator>初见</dc:creator>
  <cp:lastModifiedBy>王雯</cp:lastModifiedBy>
  <cp:lastPrinted>2026-05-12T07:05:00Z</cp:lastPrinted>
  <dcterms:modified xsi:type="dcterms:W3CDTF">2026-05-29T02:01:28Z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6A26041F703241AD88DCF2B3331C001A_13</vt:lpwstr>
  </property>
  <property fmtid="{D5CDD505-2E9C-101B-9397-08002B2CF9AE}" pid="4" name="KSOTemplateDocerSaveRecord">
    <vt:lpwstr>eyJoZGlkIjoiMmRhOTQ1ODgwNGJlNDdhMWYyMzYwNTI2MDdmMmM4MWQiLCJ1c2VySWQiOiIzNTQyMjIwODIifQ==</vt:lpwstr>
  </property>
</Properties>
</file>