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11CAB">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Times New Roman" w:hAnsi="Times New Roman" w:eastAsia="仿宋" w:cs="仿宋"/>
          <w:sz w:val="32"/>
          <w:szCs w:val="32"/>
          <w:lang w:val="en-US" w:eastAsia="zh-CN"/>
        </w:rPr>
      </w:pPr>
    </w:p>
    <w:p w14:paraId="62F1BB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pPr>
      <w:bookmarkStart w:id="0" w:name="_GoBack"/>
      <w:bookmarkEnd w:id="0"/>
      <w:r>
        <w:rPr>
          <w:rFonts w:hint="eastAsia" w:ascii="Times New Roman" w:hAnsi="Times New Roman" w:eastAsia="黑体" w:cs="黑体"/>
          <w:sz w:val="32"/>
          <w:szCs w:val="32"/>
          <w:lang w:val="en-US" w:eastAsia="zh-CN"/>
        </w:rPr>
        <w:t>附件：</w:t>
      </w:r>
    </w:p>
    <w:p w14:paraId="658F0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p>
    <w:p w14:paraId="6F69B3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贵州省新文科</w:t>
      </w:r>
      <w:r>
        <w:rPr>
          <w:rFonts w:hint="eastAsia" w:ascii="Times New Roman" w:hAnsi="Times New Roman" w:eastAsia="方正小标宋简体" w:cs="方正小标宋简体"/>
          <w:sz w:val="44"/>
          <w:szCs w:val="44"/>
        </w:rPr>
        <w:t>实验室培育遴选</w:t>
      </w:r>
      <w:r>
        <w:rPr>
          <w:rFonts w:hint="eastAsia" w:ascii="Times New Roman" w:hAnsi="Times New Roman" w:eastAsia="方正小标宋简体" w:cs="方正小标宋简体"/>
          <w:sz w:val="44"/>
          <w:szCs w:val="44"/>
          <w:lang w:val="en-US" w:eastAsia="zh-CN"/>
        </w:rPr>
        <w:t>管理</w:t>
      </w:r>
      <w:r>
        <w:rPr>
          <w:rFonts w:hint="eastAsia" w:ascii="Times New Roman" w:hAnsi="Times New Roman" w:eastAsia="方正小标宋简体" w:cs="方正小标宋简体"/>
          <w:sz w:val="44"/>
          <w:szCs w:val="44"/>
        </w:rPr>
        <w:t>办法</w:t>
      </w:r>
    </w:p>
    <w:p w14:paraId="76AAEC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试行</w:t>
      </w:r>
      <w:r>
        <w:rPr>
          <w:rFonts w:hint="eastAsia" w:ascii="Times New Roman" w:hAnsi="Times New Roman" w:eastAsia="方正小标宋简体" w:cs="方正小标宋简体"/>
          <w:sz w:val="44"/>
          <w:szCs w:val="44"/>
          <w:lang w:eastAsia="zh-CN"/>
        </w:rPr>
        <w:t>）</w:t>
      </w:r>
    </w:p>
    <w:p w14:paraId="69759C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sz w:val="32"/>
          <w:szCs w:val="32"/>
        </w:rPr>
      </w:pPr>
    </w:p>
    <w:p w14:paraId="5DF5D5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第一条 为深入贯彻习近平总书记关于哲学社会科学、科技创新的重要论述</w:t>
      </w:r>
      <w:r>
        <w:rPr>
          <w:rFonts w:hint="eastAsia" w:ascii="Times New Roman" w:hAnsi="Times New Roman" w:eastAsia="仿宋" w:cs="仿宋"/>
          <w:sz w:val="32"/>
          <w:szCs w:val="32"/>
          <w:lang w:val="en-US" w:eastAsia="zh-CN"/>
        </w:rPr>
        <w:t>精神</w:t>
      </w:r>
      <w:r>
        <w:rPr>
          <w:rFonts w:hint="eastAsia" w:ascii="Times New Roman" w:hAnsi="Times New Roman" w:eastAsia="仿宋" w:cs="仿宋"/>
          <w:sz w:val="32"/>
          <w:szCs w:val="32"/>
        </w:rPr>
        <w:t>，立足贵州</w:t>
      </w:r>
      <w:r>
        <w:rPr>
          <w:rFonts w:hint="eastAsia" w:ascii="Times New Roman" w:hAnsi="Times New Roman" w:eastAsia="仿宋" w:cs="仿宋"/>
          <w:sz w:val="32"/>
          <w:szCs w:val="32"/>
          <w:lang w:val="en-US" w:eastAsia="zh-CN"/>
        </w:rPr>
        <w:t>现代化建设实践</w:t>
      </w:r>
      <w:r>
        <w:rPr>
          <w:rFonts w:hint="eastAsia" w:ascii="Times New Roman" w:hAnsi="Times New Roman" w:eastAsia="仿宋" w:cs="仿宋"/>
          <w:sz w:val="32"/>
          <w:szCs w:val="32"/>
        </w:rPr>
        <w:t>，推动哲学社会科学与自然科学深度交叉融合，规范新文科实验室培育、遴选、建设与运行管理，特制定本办法。</w:t>
      </w:r>
    </w:p>
    <w:p w14:paraId="6C78F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第二条 贵州省新文科实验室（以下简称“实验室”）是构建贵州特色哲学社会科学学科体系、学术体系、话语体系的核心平台，是服务省委省政府决策、深化有组织科研、培育新质生产力的关键载体。以文理融通、数智赋能为路径，聚焦贵州重大战略需求，打造“学科交叉、教学科研咨政并重、社科+自然科学协同创新”的高质量平台，加快构建中国特色哲学社会科学自主知识体系贵州篇章。</w:t>
      </w:r>
    </w:p>
    <w:p w14:paraId="150B5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第三条 实验室应着眼解决经济社会发展中的前瞻性、综合性、复杂性问题，充分运用大数据、人工智能等新技术手段，推动哲学社会科学各学科之间深度合作及与理工农医学科的交叉融合，培育和催生新的学科和学术增长点，引领哲学社会科学研究范式转型，产出重大成果，提高拔尖创新人才自主培养能力和水平，建成学科交叉融合发展、教学科研咨政并重的高质量创新平台。</w:t>
      </w:r>
    </w:p>
    <w:p w14:paraId="6041B6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第四条 实验室建设坚持“战略引导、需求牵引、系统布局、创新方法、共建共享”原则，坚持目标导向、问题导向、效果导向相统一。</w:t>
      </w:r>
    </w:p>
    <w:p w14:paraId="13D34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五</w:t>
      </w:r>
      <w:r>
        <w:rPr>
          <w:rFonts w:hint="eastAsia" w:ascii="Times New Roman" w:hAnsi="Times New Roman" w:eastAsia="仿宋" w:cs="仿宋"/>
          <w:sz w:val="32"/>
          <w:szCs w:val="32"/>
        </w:rPr>
        <w:t>条 实验室</w:t>
      </w:r>
      <w:r>
        <w:rPr>
          <w:rFonts w:hint="eastAsia" w:ascii="Times New Roman" w:hAnsi="Times New Roman" w:eastAsia="仿宋" w:cs="仿宋"/>
          <w:sz w:val="32"/>
          <w:szCs w:val="32"/>
          <w:lang w:val="en-US" w:eastAsia="zh-CN"/>
        </w:rPr>
        <w:t>所依托的单位是</w:t>
      </w:r>
      <w:r>
        <w:rPr>
          <w:rFonts w:hint="eastAsia" w:ascii="Times New Roman" w:hAnsi="Times New Roman" w:eastAsia="仿宋" w:cs="仿宋"/>
          <w:sz w:val="32"/>
          <w:szCs w:val="32"/>
        </w:rPr>
        <w:t>具体负责单位，主要职责是：</w:t>
      </w:r>
    </w:p>
    <w:p w14:paraId="46B3A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w:t>
      </w:r>
      <w:r>
        <w:rPr>
          <w:rFonts w:hint="eastAsia" w:ascii="Times New Roman" w:hAnsi="Times New Roman" w:eastAsia="仿宋" w:cs="仿宋"/>
          <w:sz w:val="32"/>
          <w:szCs w:val="32"/>
          <w:lang w:val="en-US" w:eastAsia="zh-CN"/>
        </w:rPr>
        <w:t>落实</w:t>
      </w:r>
      <w:r>
        <w:rPr>
          <w:rFonts w:hint="eastAsia" w:ascii="Times New Roman" w:hAnsi="Times New Roman" w:eastAsia="仿宋" w:cs="仿宋"/>
          <w:sz w:val="32"/>
          <w:szCs w:val="32"/>
        </w:rPr>
        <w:t>有关实验室建设管理要求，为实验室建设和发展提供人财物等相关条件保障；</w:t>
      </w:r>
    </w:p>
    <w:p w14:paraId="18FE0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（二）制定本单位实验室管理细则，组织实施实验室建设；</w:t>
      </w:r>
    </w:p>
    <w:p w14:paraId="137ABCF5">
      <w:pPr>
        <w:pStyle w:val="4"/>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lang w:eastAsia="zh-CN"/>
        </w:rPr>
      </w:pPr>
      <w:r>
        <w:rPr>
          <w:rFonts w:hint="eastAsia" w:ascii="Times New Roman" w:hAnsi="Times New Roman" w:eastAsia="仿宋" w:cs="仿宋"/>
          <w:sz w:val="32"/>
          <w:szCs w:val="32"/>
        </w:rPr>
        <w:t>（三）组建学术委员会，</w:t>
      </w:r>
      <w:r>
        <w:rPr>
          <w:rFonts w:hint="eastAsia" w:ascii="Times New Roman" w:hAnsi="Times New Roman" w:eastAsia="仿宋" w:cs="仿宋"/>
          <w:sz w:val="32"/>
          <w:szCs w:val="32"/>
          <w:lang w:val="en-US" w:eastAsia="zh-CN"/>
        </w:rPr>
        <w:t>实行</w:t>
      </w:r>
      <w:r>
        <w:rPr>
          <w:rFonts w:hint="eastAsia" w:ascii="Times New Roman" w:hAnsi="Times New Roman" w:eastAsia="仿宋" w:cs="仿宋"/>
          <w:sz w:val="32"/>
          <w:szCs w:val="32"/>
        </w:rPr>
        <w:t>实验室</w:t>
      </w:r>
      <w:r>
        <w:rPr>
          <w:rFonts w:hint="eastAsia" w:ascii="Times New Roman" w:hAnsi="Times New Roman" w:eastAsia="仿宋" w:cs="仿宋"/>
          <w:sz w:val="32"/>
          <w:szCs w:val="32"/>
          <w:lang w:val="en-US" w:eastAsia="zh-CN"/>
        </w:rPr>
        <w:t>首席专家（</w:t>
      </w:r>
      <w:r>
        <w:rPr>
          <w:rFonts w:hint="eastAsia" w:ascii="Times New Roman" w:hAnsi="Times New Roman" w:eastAsia="仿宋" w:cs="仿宋"/>
          <w:sz w:val="32"/>
          <w:szCs w:val="32"/>
        </w:rPr>
        <w:t>主任</w:t>
      </w:r>
      <w:r>
        <w:rPr>
          <w:rFonts w:hint="eastAsia" w:ascii="Times New Roman" w:hAnsi="Times New Roman" w:eastAsia="仿宋" w:cs="仿宋"/>
          <w:sz w:val="32"/>
          <w:szCs w:val="32"/>
          <w:lang w:val="en-US" w:eastAsia="zh-CN"/>
        </w:rPr>
        <w:t>）负责制，学术委员会委员由省内外资深专家组成；</w:t>
      </w:r>
    </w:p>
    <w:p w14:paraId="0C2F1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（四）指导和监督实验室日常运行和管理，协助做好实验室的验收、考核评估工作。</w:t>
      </w:r>
    </w:p>
    <w:p w14:paraId="781B5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六</w:t>
      </w:r>
      <w:r>
        <w:rPr>
          <w:rFonts w:hint="eastAsia" w:ascii="Times New Roman" w:hAnsi="Times New Roman" w:eastAsia="仿宋" w:cs="仿宋"/>
          <w:sz w:val="32"/>
          <w:szCs w:val="32"/>
        </w:rPr>
        <w:t>条 实验室是建设主体，主要职责是：</w:t>
      </w:r>
    </w:p>
    <w:p w14:paraId="009A6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（一）制定实施学术规划和建设计划；</w:t>
      </w:r>
    </w:p>
    <w:p w14:paraId="0198F0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（二）完善内部治理结构、规章制度建设，发挥开放、引领和协同作用；</w:t>
      </w:r>
    </w:p>
    <w:p w14:paraId="37B7B1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（三）加强学术研究团队和人才梯队建设，注重培育拔尖创新人才；</w:t>
      </w:r>
    </w:p>
    <w:p w14:paraId="62B7A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（四）承担重大科研任务，开展交叉创新研究，推动科研组织模式和科研范式变革，产出重大成果，为知识体系创新赋能，服务经济社会发展，提供决策支撑；</w:t>
      </w:r>
    </w:p>
    <w:p w14:paraId="77275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（五）加强学术交流合作，构建高水平国际学术网络。</w:t>
      </w:r>
    </w:p>
    <w:p w14:paraId="3E3C6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七</w:t>
      </w:r>
      <w:r>
        <w:rPr>
          <w:rFonts w:hint="eastAsia" w:ascii="Times New Roman" w:hAnsi="Times New Roman" w:eastAsia="仿宋" w:cs="仿宋"/>
          <w:sz w:val="32"/>
          <w:szCs w:val="32"/>
        </w:rPr>
        <w:t>条 实验室实行“专家认定、择优入选、定期考核、优胜劣汰”的动态管理机制。立项后每轮建设周期5年，其中试运行期1年。试运行期满，</w:t>
      </w:r>
      <w:r>
        <w:rPr>
          <w:rFonts w:hint="eastAsia" w:ascii="Times New Roman" w:hAnsi="Times New Roman" w:eastAsia="仿宋" w:cs="仿宋"/>
          <w:sz w:val="32"/>
          <w:szCs w:val="32"/>
          <w:lang w:val="en-US" w:eastAsia="zh-CN"/>
        </w:rPr>
        <w:t>省社科联、省科协</w:t>
      </w:r>
      <w:r>
        <w:rPr>
          <w:rFonts w:hint="eastAsia" w:ascii="Times New Roman" w:hAnsi="Times New Roman" w:eastAsia="仿宋" w:cs="仿宋"/>
          <w:sz w:val="32"/>
          <w:szCs w:val="32"/>
        </w:rPr>
        <w:t>组织开展验收，验收未通过的，取消立项建设资格；验收通过的，正式挂牌运行。</w:t>
      </w:r>
    </w:p>
    <w:p w14:paraId="09DABC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八</w:t>
      </w:r>
      <w:r>
        <w:rPr>
          <w:rFonts w:hint="eastAsia" w:ascii="Times New Roman" w:hAnsi="Times New Roman" w:eastAsia="仿宋" w:cs="仿宋"/>
          <w:sz w:val="32"/>
          <w:szCs w:val="32"/>
        </w:rPr>
        <w:t xml:space="preserve">条 </w:t>
      </w:r>
      <w:r>
        <w:rPr>
          <w:rFonts w:hint="eastAsia" w:ascii="Times New Roman" w:hAnsi="Times New Roman" w:eastAsia="仿宋" w:cs="仿宋"/>
          <w:sz w:val="32"/>
          <w:szCs w:val="32"/>
          <w:lang w:val="en-US" w:eastAsia="zh-CN"/>
        </w:rPr>
        <w:t>省社科联、省科协</w:t>
      </w:r>
      <w:r>
        <w:rPr>
          <w:rFonts w:hint="eastAsia" w:ascii="Times New Roman" w:hAnsi="Times New Roman" w:eastAsia="仿宋" w:cs="仿宋"/>
          <w:sz w:val="32"/>
          <w:szCs w:val="32"/>
        </w:rPr>
        <w:t>根据实验室的发展规划和布局，发布申报通知。</w:t>
      </w:r>
      <w:r>
        <w:rPr>
          <w:rFonts w:hint="eastAsia" w:ascii="Times New Roman" w:hAnsi="Times New Roman" w:eastAsia="仿宋" w:cs="仿宋"/>
          <w:sz w:val="32"/>
          <w:szCs w:val="32"/>
          <w:lang w:val="en-US" w:eastAsia="zh-CN"/>
        </w:rPr>
        <w:t>所依托单位</w:t>
      </w:r>
      <w:r>
        <w:rPr>
          <w:rFonts w:hint="eastAsia" w:ascii="Times New Roman" w:hAnsi="Times New Roman" w:eastAsia="仿宋" w:cs="仿宋"/>
          <w:sz w:val="32"/>
          <w:szCs w:val="32"/>
        </w:rPr>
        <w:t>应从已建实验室</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哲学社会科学创新团队、青年学术先锋号等团队</w:t>
      </w:r>
      <w:r>
        <w:rPr>
          <w:rFonts w:hint="eastAsia" w:ascii="Times New Roman" w:hAnsi="Times New Roman" w:eastAsia="仿宋" w:cs="仿宋"/>
          <w:sz w:val="32"/>
          <w:szCs w:val="32"/>
        </w:rPr>
        <w:t>中有计划、有重点地遴选申报，坚持宁缺毋滥，做到优中选优。</w:t>
      </w:r>
    </w:p>
    <w:p w14:paraId="79212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九</w:t>
      </w:r>
      <w:r>
        <w:rPr>
          <w:rFonts w:hint="eastAsia" w:ascii="Times New Roman" w:hAnsi="Times New Roman" w:eastAsia="仿宋" w:cs="仿宋"/>
          <w:sz w:val="32"/>
          <w:szCs w:val="32"/>
        </w:rPr>
        <w:t>条 实验室应具备以下基本条件：</w:t>
      </w:r>
    </w:p>
    <w:p w14:paraId="41E94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（一）具有较强哲学社会科学实力。</w:t>
      </w:r>
      <w:r>
        <w:rPr>
          <w:rFonts w:hint="eastAsia" w:ascii="Times New Roman" w:hAnsi="Times New Roman" w:eastAsia="仿宋" w:cs="仿宋"/>
          <w:sz w:val="32"/>
          <w:szCs w:val="32"/>
          <w:lang w:val="en-US" w:eastAsia="zh-CN"/>
        </w:rPr>
        <w:t>所依托单位</w:t>
      </w:r>
      <w:r>
        <w:rPr>
          <w:rFonts w:hint="eastAsia" w:ascii="Times New Roman" w:hAnsi="Times New Roman" w:eastAsia="仿宋" w:cs="仿宋"/>
          <w:sz w:val="32"/>
          <w:szCs w:val="32"/>
        </w:rPr>
        <w:t>具有较为完备的实验室建设管理规章，在文理工农医交叉融合、科研改革创新、培育和支持实验室等方面成效明显。</w:t>
      </w:r>
    </w:p>
    <w:p w14:paraId="094F8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（二）具有多学科交叉融合发展基础。其中主要依托学科须为哲学社会科学学科。</w:t>
      </w:r>
    </w:p>
    <w:p w14:paraId="2A1B09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（三）原则上为</w:t>
      </w:r>
      <w:r>
        <w:rPr>
          <w:rFonts w:hint="eastAsia" w:ascii="Times New Roman" w:hAnsi="Times New Roman" w:eastAsia="仿宋" w:cs="仿宋"/>
          <w:sz w:val="32"/>
          <w:szCs w:val="32"/>
          <w:lang w:val="en-US" w:eastAsia="zh-CN"/>
        </w:rPr>
        <w:t>所依托单位</w:t>
      </w:r>
      <w:r>
        <w:rPr>
          <w:rFonts w:hint="eastAsia" w:ascii="Times New Roman" w:hAnsi="Times New Roman" w:eastAsia="仿宋" w:cs="仿宋"/>
          <w:sz w:val="32"/>
          <w:szCs w:val="32"/>
        </w:rPr>
        <w:t>相对独立的实体研究机构，且已稳定运行2年（含）以上。管理制度健全，内部运行有序，具有专职管理人员。</w:t>
      </w:r>
    </w:p>
    <w:p w14:paraId="41E285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（四）具备解决重大问题的科研实力</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明确的主攻方向和创新的研究方法，在相关学科领域有扎实的研究基础。主动服务</w:t>
      </w:r>
      <w:r>
        <w:rPr>
          <w:rFonts w:hint="eastAsia" w:ascii="Times New Roman" w:hAnsi="Times New Roman" w:eastAsia="仿宋" w:cs="仿宋"/>
          <w:sz w:val="32"/>
          <w:szCs w:val="32"/>
          <w:lang w:val="en-US" w:eastAsia="zh-CN"/>
        </w:rPr>
        <w:t>省委省政府</w:t>
      </w:r>
      <w:r>
        <w:rPr>
          <w:rFonts w:hint="eastAsia" w:ascii="Times New Roman" w:hAnsi="Times New Roman" w:eastAsia="仿宋" w:cs="仿宋"/>
          <w:sz w:val="32"/>
          <w:szCs w:val="32"/>
        </w:rPr>
        <w:t>战略，已取得体现学科交叉融合、认可度高的重要理论研究成果和实践创新成果。</w:t>
      </w:r>
    </w:p>
    <w:p w14:paraId="61AB5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具有满足研究需求、长期积累、来源渠道稳定的必要数据资源，数据管理安全可控，无知识产权争议，符合有关系统安全等级备案要求。能够自主设计开发建设相关数据库和应用软件，数据分析、处理和研究能力独树一帜、体现创新。</w:t>
      </w:r>
    </w:p>
    <w:p w14:paraId="3078BD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（六）具有结构合理、学科交叉、梯队衔接的稳定的高水平复合型科研队伍，专兼职研究人员不少于</w:t>
      </w:r>
      <w:r>
        <w:rPr>
          <w:rFonts w:hint="eastAsia" w:ascii="Times New Roman" w:hAnsi="Times New Roman" w:eastAsia="仿宋" w:cs="仿宋"/>
          <w:sz w:val="32"/>
          <w:szCs w:val="32"/>
          <w:lang w:val="en-US"/>
        </w:rPr>
        <w:t>10</w:t>
      </w:r>
      <w:r>
        <w:rPr>
          <w:rFonts w:hint="eastAsia" w:ascii="Times New Roman" w:hAnsi="Times New Roman" w:eastAsia="仿宋" w:cs="仿宋"/>
          <w:sz w:val="32"/>
          <w:szCs w:val="32"/>
        </w:rPr>
        <w:t>人。</w:t>
      </w:r>
    </w:p>
    <w:p w14:paraId="595AF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（七）具备良好的办公条件、科研实验条件和基础保障条件。实验室总面积原则上不少于</w:t>
      </w:r>
      <w:r>
        <w:rPr>
          <w:rFonts w:hint="default" w:ascii="Times New Roman" w:hAnsi="Times New Roman" w:eastAsia="仿宋" w:cs="仿宋"/>
          <w:sz w:val="32"/>
          <w:szCs w:val="32"/>
          <w:lang w:val="en-US"/>
        </w:rPr>
        <w:t>300</w:t>
      </w:r>
      <w:r>
        <w:rPr>
          <w:rFonts w:hint="eastAsia" w:ascii="Times New Roman" w:hAnsi="Times New Roman" w:eastAsia="仿宋" w:cs="仿宋"/>
          <w:sz w:val="32"/>
          <w:szCs w:val="32"/>
        </w:rPr>
        <w:t>平方米，人员与用房相对集中。具备充足且先进适用的实验仪器设备、完善的配套设施及相应的实验环境。有稳定的经费资助渠道。</w:t>
      </w:r>
    </w:p>
    <w:p w14:paraId="40861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八</w:t>
      </w:r>
      <w:r>
        <w:rPr>
          <w:rFonts w:hint="eastAsia" w:ascii="Times New Roman" w:hAnsi="Times New Roman" w:eastAsia="仿宋" w:cs="仿宋"/>
          <w:sz w:val="32"/>
          <w:szCs w:val="32"/>
        </w:rPr>
        <w:t>）建有“开放、流动、联合、竞争”的运行机制。实验室具有开放性和较强的资源整合能力，能有效协同和集聚</w:t>
      </w:r>
      <w:r>
        <w:rPr>
          <w:rFonts w:hint="eastAsia" w:ascii="Times New Roman" w:hAnsi="Times New Roman" w:eastAsia="仿宋" w:cs="仿宋"/>
          <w:sz w:val="32"/>
          <w:szCs w:val="32"/>
          <w:lang w:val="en-US" w:eastAsia="zh-CN"/>
        </w:rPr>
        <w:t>所在单位</w:t>
      </w:r>
      <w:r>
        <w:rPr>
          <w:rFonts w:hint="eastAsia" w:ascii="Times New Roman" w:hAnsi="Times New Roman" w:eastAsia="仿宋" w:cs="仿宋"/>
          <w:sz w:val="32"/>
          <w:szCs w:val="32"/>
        </w:rPr>
        <w:t>不同学科、科研院所、企事业单位、社会资源，开展联合建设或联合攻关。具备社会服务条件，在资源共享、信息互通、</w:t>
      </w:r>
      <w:r>
        <w:rPr>
          <w:rFonts w:hint="eastAsia" w:ascii="Times New Roman" w:hAnsi="Times New Roman" w:eastAsia="仿宋" w:cs="仿宋"/>
          <w:sz w:val="32"/>
          <w:szCs w:val="32"/>
          <w:lang w:val="en-US" w:eastAsia="zh-CN"/>
        </w:rPr>
        <w:t>学术</w:t>
      </w:r>
      <w:r>
        <w:rPr>
          <w:rFonts w:hint="eastAsia" w:ascii="Times New Roman" w:hAnsi="Times New Roman" w:eastAsia="仿宋" w:cs="仿宋"/>
          <w:sz w:val="32"/>
          <w:szCs w:val="32"/>
        </w:rPr>
        <w:t>交流方面有较好基础。</w:t>
      </w:r>
    </w:p>
    <w:p w14:paraId="50C9E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九</w:t>
      </w:r>
      <w:r>
        <w:rPr>
          <w:rFonts w:hint="eastAsia" w:ascii="Times New Roman" w:hAnsi="Times New Roman" w:eastAsia="仿宋" w:cs="仿宋"/>
          <w:sz w:val="32"/>
          <w:szCs w:val="32"/>
        </w:rPr>
        <w:t>）政治方向、价值取向、研究导向正确，学术生态良好，学术风气端正，无不良记录。</w:t>
      </w:r>
    </w:p>
    <w:p w14:paraId="5DE6C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w:t>
      </w:r>
      <w:r>
        <w:rPr>
          <w:rFonts w:hint="eastAsia" w:ascii="Times New Roman" w:hAnsi="Times New Roman" w:eastAsia="仿宋" w:cs="仿宋"/>
          <w:sz w:val="32"/>
          <w:szCs w:val="32"/>
          <w:lang w:val="en-US" w:eastAsia="zh-CN"/>
        </w:rPr>
        <w:t>十</w:t>
      </w:r>
      <w:r>
        <w:rPr>
          <w:rFonts w:hint="eastAsia" w:ascii="Times New Roman" w:hAnsi="Times New Roman" w:eastAsia="仿宋" w:cs="仿宋"/>
          <w:sz w:val="32"/>
          <w:szCs w:val="32"/>
        </w:rPr>
        <w:t>条 实验</w:t>
      </w:r>
      <w:r>
        <w:rPr>
          <w:rFonts w:hint="eastAsia" w:ascii="Times New Roman" w:hAnsi="Times New Roman" w:eastAsia="仿宋" w:cs="仿宋"/>
          <w:sz w:val="32"/>
          <w:szCs w:val="32"/>
          <w:lang w:val="en-US" w:eastAsia="zh-CN"/>
        </w:rPr>
        <w:t>室首席专家</w:t>
      </w:r>
      <w:r>
        <w:rPr>
          <w:rFonts w:hint="eastAsia" w:ascii="Times New Roman" w:hAnsi="Times New Roman" w:eastAsia="仿宋" w:cs="仿宋"/>
          <w:sz w:val="32"/>
          <w:szCs w:val="32"/>
        </w:rPr>
        <w:t>应具备以下基本条件：</w:t>
      </w:r>
    </w:p>
    <w:p w14:paraId="71396C3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黑体"/>
          <w:bCs/>
          <w:color w:val="000000"/>
          <w:kern w:val="0"/>
          <w:sz w:val="32"/>
          <w:szCs w:val="32"/>
          <w:lang w:val="en-US" w:eastAsia="zh-CN" w:bidi="ar-SA"/>
        </w:rPr>
      </w:pPr>
      <w:r>
        <w:rPr>
          <w:rFonts w:hint="eastAsia" w:ascii="Times New Roman" w:hAnsi="Times New Roman" w:eastAsia="仿宋"/>
          <w:b w:val="0"/>
          <w:bCs w:val="0"/>
          <w:color w:val="000000"/>
          <w:kern w:val="0"/>
          <w:sz w:val="32"/>
          <w:szCs w:val="32"/>
          <w:u w:val="none"/>
          <w:lang w:val="en-US" w:eastAsia="zh-CN" w:bidi="ar"/>
        </w:rPr>
        <w:t>首席专家（主任）原则上</w:t>
      </w:r>
      <w:r>
        <w:rPr>
          <w:rFonts w:hint="eastAsia" w:ascii="Times New Roman" w:hAnsi="Times New Roman" w:eastAsia="仿宋_GB2312"/>
          <w:color w:val="0D0D0D"/>
          <w:kern w:val="0"/>
          <w:sz w:val="32"/>
          <w:szCs w:val="32"/>
        </w:rPr>
        <w:t>具备博士学位</w:t>
      </w:r>
      <w:r>
        <w:rPr>
          <w:rFonts w:hint="eastAsia" w:ascii="Times New Roman" w:hAnsi="Times New Roman" w:eastAsia="仿宋_GB2312"/>
          <w:color w:val="0D0D0D"/>
          <w:kern w:val="0"/>
          <w:sz w:val="32"/>
          <w:szCs w:val="32"/>
          <w:lang w:eastAsia="zh-CN"/>
        </w:rPr>
        <w:t>、</w:t>
      </w:r>
      <w:r>
        <w:rPr>
          <w:rFonts w:hint="eastAsia" w:ascii="Times New Roman" w:hAnsi="Times New Roman" w:eastAsia="仿宋_GB2312"/>
          <w:color w:val="0D0D0D"/>
          <w:kern w:val="0"/>
          <w:sz w:val="32"/>
          <w:szCs w:val="32"/>
          <w:lang w:val="en-US" w:eastAsia="zh-CN"/>
        </w:rPr>
        <w:t>正高职称，年龄不超过</w:t>
      </w:r>
      <w:r>
        <w:rPr>
          <w:rFonts w:hint="default" w:ascii="Times New Roman" w:hAnsi="Times New Roman" w:eastAsia="仿宋_GB2312"/>
          <w:color w:val="0D0D0D"/>
          <w:kern w:val="0"/>
          <w:sz w:val="32"/>
          <w:szCs w:val="32"/>
          <w:lang w:val="en-US" w:eastAsia="zh-CN"/>
        </w:rPr>
        <w:t>60</w:t>
      </w:r>
      <w:r>
        <w:rPr>
          <w:rFonts w:hint="eastAsia" w:ascii="Times New Roman" w:hAnsi="Times New Roman" w:eastAsia="仿宋_GB2312"/>
          <w:color w:val="0D0D0D"/>
          <w:kern w:val="0"/>
          <w:sz w:val="32"/>
          <w:szCs w:val="32"/>
          <w:lang w:val="en-US" w:eastAsia="zh-CN"/>
        </w:rPr>
        <w:t>周岁，同时还需</w:t>
      </w:r>
      <w:r>
        <w:rPr>
          <w:rFonts w:hint="eastAsia" w:ascii="Times New Roman" w:hAnsi="Times New Roman" w:eastAsia="仿宋"/>
          <w:b w:val="0"/>
          <w:bCs w:val="0"/>
          <w:color w:val="000000"/>
          <w:kern w:val="0"/>
          <w:sz w:val="32"/>
          <w:szCs w:val="32"/>
          <w:u w:val="none"/>
          <w:lang w:val="en-US" w:eastAsia="zh-CN" w:bidi="ar"/>
        </w:rPr>
        <w:t>满足下列条件之四（申报截止时间前</w:t>
      </w:r>
      <w:r>
        <w:rPr>
          <w:rFonts w:hint="default" w:ascii="Times New Roman" w:hAnsi="Times New Roman" w:eastAsia="仿宋"/>
          <w:b w:val="0"/>
          <w:bCs w:val="0"/>
          <w:color w:val="000000"/>
          <w:kern w:val="0"/>
          <w:sz w:val="32"/>
          <w:szCs w:val="32"/>
          <w:u w:val="none"/>
          <w:lang w:val="en-US" w:eastAsia="zh-CN" w:bidi="ar"/>
        </w:rPr>
        <w:t>3</w:t>
      </w:r>
      <w:r>
        <w:rPr>
          <w:rFonts w:hint="eastAsia" w:ascii="Times New Roman" w:hAnsi="Times New Roman" w:eastAsia="仿宋"/>
          <w:b w:val="0"/>
          <w:bCs w:val="0"/>
          <w:color w:val="000000"/>
          <w:kern w:val="0"/>
          <w:sz w:val="32"/>
          <w:szCs w:val="32"/>
          <w:u w:val="none"/>
          <w:lang w:val="en-US" w:eastAsia="zh-CN" w:bidi="ar"/>
        </w:rPr>
        <w:t>年所取得的称号或成果）：</w:t>
      </w:r>
    </w:p>
    <w:p w14:paraId="650EF63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ascii="Times New Roman" w:hAnsi="Times New Roman" w:eastAsia="仿宋"/>
          <w:b w:val="0"/>
          <w:bCs w:val="0"/>
          <w:color w:val="000000"/>
          <w:kern w:val="0"/>
          <w:sz w:val="32"/>
          <w:szCs w:val="32"/>
          <w:u w:val="none"/>
          <w:lang w:val="en-US" w:eastAsia="zh-CN" w:bidi="ar"/>
        </w:rPr>
      </w:pPr>
      <w:r>
        <w:rPr>
          <w:rFonts w:ascii="Times New Roman" w:hAnsi="Times New Roman" w:eastAsia="仿宋"/>
          <w:b w:val="0"/>
          <w:bCs w:val="0"/>
          <w:color w:val="000000"/>
          <w:kern w:val="0"/>
          <w:sz w:val="32"/>
          <w:szCs w:val="32"/>
          <w:u w:val="none"/>
          <w:lang w:val="en-US" w:eastAsia="zh-CN" w:bidi="ar"/>
        </w:rPr>
        <w:t>1.</w:t>
      </w:r>
      <w:r>
        <w:rPr>
          <w:rFonts w:hint="eastAsia" w:ascii="Times New Roman" w:hAnsi="Times New Roman" w:eastAsia="仿宋"/>
          <w:b w:val="0"/>
          <w:bCs w:val="0"/>
          <w:color w:val="000000"/>
          <w:kern w:val="0"/>
          <w:sz w:val="32"/>
          <w:szCs w:val="32"/>
          <w:u w:val="none"/>
          <w:lang w:val="en-US" w:eastAsia="zh-CN" w:bidi="ar"/>
        </w:rPr>
        <w:t>获</w:t>
      </w:r>
      <w:r>
        <w:rPr>
          <w:rFonts w:ascii="Times New Roman" w:hAnsi="Times New Roman" w:eastAsia="仿宋"/>
          <w:b w:val="0"/>
          <w:bCs w:val="0"/>
          <w:color w:val="000000"/>
          <w:kern w:val="0"/>
          <w:sz w:val="32"/>
          <w:szCs w:val="32"/>
          <w:u w:val="none"/>
          <w:lang w:val="en-US" w:eastAsia="zh-CN" w:bidi="ar"/>
        </w:rPr>
        <w:t>中宣部</w:t>
      </w:r>
      <w:r>
        <w:rPr>
          <w:rFonts w:hint="eastAsia" w:ascii="Times New Roman" w:hAnsi="Times New Roman" w:eastAsia="仿宋"/>
          <w:b w:val="0"/>
          <w:bCs w:val="0"/>
          <w:color w:val="000000"/>
          <w:kern w:val="0"/>
          <w:sz w:val="32"/>
          <w:szCs w:val="32"/>
          <w:u w:val="none"/>
          <w:lang w:val="en-US" w:eastAsia="zh-CN" w:bidi="ar"/>
        </w:rPr>
        <w:t>“</w:t>
      </w:r>
      <w:r>
        <w:rPr>
          <w:rFonts w:ascii="Times New Roman" w:hAnsi="Times New Roman" w:eastAsia="仿宋"/>
          <w:b w:val="0"/>
          <w:bCs w:val="0"/>
          <w:color w:val="000000"/>
          <w:kern w:val="0"/>
          <w:sz w:val="32"/>
          <w:szCs w:val="32"/>
          <w:u w:val="none"/>
          <w:lang w:val="en-US" w:eastAsia="zh-CN" w:bidi="ar"/>
        </w:rPr>
        <w:t>五个一工程</w:t>
      </w:r>
      <w:r>
        <w:rPr>
          <w:rFonts w:hint="eastAsia" w:ascii="Times New Roman" w:hAnsi="Times New Roman" w:eastAsia="仿宋"/>
          <w:b w:val="0"/>
          <w:bCs w:val="0"/>
          <w:color w:val="000000"/>
          <w:kern w:val="0"/>
          <w:sz w:val="32"/>
          <w:szCs w:val="32"/>
          <w:u w:val="none"/>
          <w:lang w:val="en-US" w:eastAsia="zh-CN" w:bidi="ar"/>
        </w:rPr>
        <w:t>”</w:t>
      </w:r>
      <w:r>
        <w:rPr>
          <w:rFonts w:ascii="Times New Roman" w:hAnsi="Times New Roman" w:eastAsia="仿宋"/>
          <w:b w:val="0"/>
          <w:bCs w:val="0"/>
          <w:color w:val="000000"/>
          <w:kern w:val="0"/>
          <w:sz w:val="32"/>
          <w:szCs w:val="32"/>
          <w:u w:val="none"/>
          <w:lang w:val="en-US" w:eastAsia="zh-CN" w:bidi="ar"/>
        </w:rPr>
        <w:t>奖</w:t>
      </w:r>
      <w:r>
        <w:rPr>
          <w:rFonts w:hint="eastAsia" w:ascii="Times New Roman" w:hAnsi="Times New Roman" w:eastAsia="仿宋"/>
          <w:b w:val="0"/>
          <w:bCs w:val="0"/>
          <w:color w:val="000000"/>
          <w:kern w:val="0"/>
          <w:sz w:val="32"/>
          <w:szCs w:val="32"/>
          <w:u w:val="none"/>
          <w:lang w:val="en-US" w:eastAsia="zh-CN" w:bidi="ar"/>
        </w:rPr>
        <w:t>。</w:t>
      </w:r>
    </w:p>
    <w:p w14:paraId="4D5E658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ascii="Times New Roman" w:hAnsi="Times New Roman" w:eastAsia="仿宋"/>
          <w:b w:val="0"/>
          <w:bCs w:val="0"/>
          <w:color w:val="000000"/>
          <w:kern w:val="0"/>
          <w:sz w:val="32"/>
          <w:szCs w:val="32"/>
          <w:u w:val="none"/>
          <w:lang w:val="en-US" w:eastAsia="zh-CN" w:bidi="ar"/>
        </w:rPr>
      </w:pPr>
      <w:r>
        <w:rPr>
          <w:rFonts w:ascii="Times New Roman" w:hAnsi="Times New Roman" w:eastAsia="仿宋"/>
          <w:b w:val="0"/>
          <w:bCs w:val="0"/>
          <w:color w:val="000000"/>
          <w:kern w:val="0"/>
          <w:sz w:val="32"/>
          <w:szCs w:val="32"/>
          <w:u w:val="none"/>
          <w:lang w:val="en-US" w:eastAsia="zh-CN" w:bidi="ar"/>
        </w:rPr>
        <w:t>2.</w:t>
      </w:r>
      <w:r>
        <w:rPr>
          <w:rFonts w:hint="eastAsia" w:ascii="Times New Roman" w:hAnsi="Times New Roman" w:eastAsia="仿宋"/>
          <w:b w:val="0"/>
          <w:bCs w:val="0"/>
          <w:color w:val="000000"/>
          <w:kern w:val="0"/>
          <w:sz w:val="32"/>
          <w:szCs w:val="32"/>
          <w:u w:val="none"/>
          <w:lang w:val="en-US" w:eastAsia="zh-CN" w:bidi="ar"/>
        </w:rPr>
        <w:t>获国家级科研成果奖励（前五位）；或省部级哲学社会科学优秀成果奖及其他省部级科研成果奖励一等奖（前三位）或二等奖（前二位）；或团队负责人获省级以上科研类人才称号。</w:t>
      </w:r>
    </w:p>
    <w:p w14:paraId="29FFEEF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olor w:val="000000"/>
          <w:sz w:val="32"/>
          <w:szCs w:val="32"/>
          <w:lang w:val="en-US"/>
        </w:rPr>
      </w:pPr>
      <w:r>
        <w:rPr>
          <w:rFonts w:ascii="Times New Roman" w:hAnsi="Times New Roman" w:eastAsia="仿宋_GB2312"/>
          <w:color w:val="000000"/>
          <w:sz w:val="32"/>
          <w:szCs w:val="32"/>
          <w:lang w:val="en-US"/>
        </w:rPr>
        <w:t>3.</w:t>
      </w:r>
      <w:r>
        <w:rPr>
          <w:rFonts w:hint="eastAsia" w:ascii="Times New Roman" w:hAnsi="Times New Roman" w:eastAsia="仿宋_GB2312"/>
          <w:color w:val="000000"/>
          <w:sz w:val="32"/>
          <w:szCs w:val="32"/>
        </w:rPr>
        <w:t>主持并完成省部级科研项目3项</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或</w:t>
      </w:r>
      <w:r>
        <w:rPr>
          <w:rFonts w:hint="eastAsia" w:ascii="Times New Roman" w:hAnsi="Times New Roman" w:eastAsia="仿宋_GB2312"/>
          <w:color w:val="000000"/>
          <w:sz w:val="32"/>
          <w:szCs w:val="32"/>
        </w:rPr>
        <w:t>主持并完成横向科研项目累计到账经费</w:t>
      </w:r>
      <w:r>
        <w:rPr>
          <w:rFonts w:ascii="Times New Roman" w:hAnsi="Times New Roman" w:eastAsia="仿宋_GB2312"/>
          <w:color w:val="000000"/>
          <w:sz w:val="32"/>
          <w:szCs w:val="32"/>
          <w:lang w:val="en-US"/>
        </w:rPr>
        <w:t>120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以上，</w:t>
      </w:r>
      <w:r>
        <w:rPr>
          <w:rFonts w:hint="eastAsia" w:ascii="Times New Roman" w:hAnsi="Times New Roman" w:eastAsia="仿宋_GB2312"/>
          <w:color w:val="000000"/>
          <w:sz w:val="32"/>
          <w:szCs w:val="32"/>
        </w:rPr>
        <w:t>并完成相关合同约定任务。</w:t>
      </w:r>
    </w:p>
    <w:p w14:paraId="5B07C15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ascii="Times New Roman" w:hAnsi="Times New Roman" w:eastAsia="仿宋"/>
          <w:b w:val="0"/>
          <w:bCs w:val="0"/>
          <w:color w:val="000000"/>
          <w:kern w:val="0"/>
          <w:sz w:val="32"/>
          <w:szCs w:val="32"/>
          <w:u w:val="none"/>
          <w:lang w:val="en-US" w:eastAsia="zh-CN" w:bidi="ar"/>
        </w:rPr>
      </w:pPr>
      <w:r>
        <w:rPr>
          <w:rFonts w:ascii="Times New Roman" w:hAnsi="Times New Roman" w:eastAsia="仿宋"/>
          <w:b w:val="0"/>
          <w:bCs w:val="0"/>
          <w:color w:val="000000"/>
          <w:kern w:val="0"/>
          <w:sz w:val="32"/>
          <w:szCs w:val="32"/>
          <w:u w:val="none"/>
          <w:lang w:val="en-US" w:eastAsia="zh-CN" w:bidi="ar"/>
        </w:rPr>
        <w:t>4.</w:t>
      </w:r>
      <w:r>
        <w:rPr>
          <w:rFonts w:hint="eastAsia" w:ascii="Times New Roman" w:hAnsi="Times New Roman" w:eastAsia="仿宋_GB2312"/>
          <w:color w:val="000000"/>
          <w:sz w:val="32"/>
          <w:szCs w:val="32"/>
        </w:rPr>
        <w:t>作为主要参与者，其成果获中央、国务院采纳或获得国家领导肯定性批示</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或</w:t>
      </w:r>
      <w:r>
        <w:rPr>
          <w:rFonts w:hint="eastAsia" w:ascii="Times New Roman" w:hAnsi="Times New Roman" w:eastAsia="仿宋_GB2312"/>
          <w:color w:val="000000"/>
          <w:sz w:val="32"/>
          <w:szCs w:val="32"/>
        </w:rPr>
        <w:t>作为第一完成人，其成果获省部级单位采纳或获得省部级领导肯定性批示；或通过学校向省级党政职能部门提交的研究报告或政策建议成果被省级党政部门采纳，写入政策文件，以省委省政府文件印发实施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或</w:t>
      </w:r>
      <w:r>
        <w:rPr>
          <w:rFonts w:hint="eastAsia" w:ascii="Times New Roman" w:hAnsi="Times New Roman" w:eastAsia="仿宋"/>
          <w:b w:val="0"/>
          <w:bCs w:val="0"/>
          <w:color w:val="000000"/>
          <w:kern w:val="0"/>
          <w:sz w:val="32"/>
          <w:szCs w:val="32"/>
          <w:u w:val="none"/>
          <w:lang w:val="en-US" w:eastAsia="zh-CN" w:bidi="ar"/>
        </w:rPr>
        <w:t>被《贵州咨政》采用并得到</w:t>
      </w:r>
      <w:r>
        <w:rPr>
          <w:rFonts w:ascii="Times New Roman" w:hAnsi="Times New Roman" w:eastAsia="仿宋"/>
          <w:b w:val="0"/>
          <w:bCs w:val="0"/>
          <w:color w:val="000000"/>
          <w:kern w:val="0"/>
          <w:sz w:val="32"/>
          <w:szCs w:val="32"/>
          <w:u w:val="none"/>
          <w:lang w:val="en-US" w:eastAsia="zh-CN" w:bidi="ar"/>
        </w:rPr>
        <w:t>省部级</w:t>
      </w:r>
      <w:r>
        <w:rPr>
          <w:rFonts w:hint="eastAsia" w:ascii="Times New Roman" w:hAnsi="Times New Roman" w:eastAsia="仿宋"/>
          <w:b w:val="0"/>
          <w:bCs w:val="0"/>
          <w:color w:val="000000"/>
          <w:kern w:val="0"/>
          <w:sz w:val="32"/>
          <w:szCs w:val="32"/>
          <w:u w:val="none"/>
          <w:lang w:val="en-US" w:eastAsia="zh-CN" w:bidi="ar"/>
        </w:rPr>
        <w:t>及以上</w:t>
      </w:r>
      <w:r>
        <w:rPr>
          <w:rFonts w:ascii="Times New Roman" w:hAnsi="Times New Roman" w:eastAsia="仿宋"/>
          <w:b w:val="0"/>
          <w:bCs w:val="0"/>
          <w:color w:val="000000"/>
          <w:kern w:val="0"/>
          <w:sz w:val="32"/>
          <w:szCs w:val="32"/>
          <w:u w:val="none"/>
          <w:lang w:val="en-US" w:eastAsia="zh-CN" w:bidi="ar"/>
        </w:rPr>
        <w:t>领导肯定性批示</w:t>
      </w:r>
      <w:r>
        <w:rPr>
          <w:rFonts w:hint="eastAsia" w:ascii="Times New Roman" w:hAnsi="Times New Roman" w:eastAsia="仿宋"/>
          <w:b w:val="0"/>
          <w:bCs w:val="0"/>
          <w:color w:val="000000"/>
          <w:kern w:val="0"/>
          <w:sz w:val="32"/>
          <w:szCs w:val="32"/>
          <w:u w:val="none"/>
          <w:lang w:val="en-US" w:eastAsia="zh-CN" w:bidi="ar"/>
        </w:rPr>
        <w:t>或被省直部门转化运用的。</w:t>
      </w:r>
    </w:p>
    <w:p w14:paraId="1F99169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ascii="Times New Roman" w:hAnsi="Times New Roman" w:eastAsia="仿宋"/>
          <w:b w:val="0"/>
          <w:bCs w:val="0"/>
          <w:color w:val="000000"/>
          <w:kern w:val="0"/>
          <w:sz w:val="32"/>
          <w:szCs w:val="32"/>
          <w:u w:val="none"/>
          <w:lang w:val="en-US" w:eastAsia="zh-CN" w:bidi="ar"/>
        </w:rPr>
      </w:pPr>
      <w:r>
        <w:rPr>
          <w:rFonts w:ascii="Times New Roman" w:hAnsi="Times New Roman" w:eastAsia="仿宋"/>
          <w:b w:val="0"/>
          <w:bCs w:val="0"/>
          <w:color w:val="000000"/>
          <w:kern w:val="0"/>
          <w:sz w:val="32"/>
          <w:szCs w:val="32"/>
          <w:u w:val="none"/>
          <w:lang w:val="en-US" w:eastAsia="zh-CN" w:bidi="ar"/>
        </w:rPr>
        <w:t>5.</w:t>
      </w:r>
      <w:r>
        <w:rPr>
          <w:rFonts w:hint="eastAsia" w:ascii="Times New Roman" w:hAnsi="Times New Roman" w:eastAsia="仿宋"/>
          <w:b w:val="0"/>
          <w:bCs w:val="0"/>
          <w:color w:val="000000"/>
          <w:kern w:val="0"/>
          <w:sz w:val="32"/>
          <w:szCs w:val="32"/>
          <w:u w:val="none"/>
          <w:lang w:val="en-US" w:eastAsia="zh-CN" w:bidi="ar"/>
        </w:rPr>
        <w:t>发表Ⅰ类论文1篇；或发表Ⅱ类论文3篇；或发表Ⅲ类论文6篇。</w:t>
      </w:r>
    </w:p>
    <w:p w14:paraId="7F83DF4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ascii="Times New Roman" w:hAnsi="Times New Roman" w:eastAsia="仿宋"/>
          <w:b w:val="0"/>
          <w:bCs w:val="0"/>
          <w:color w:val="000000"/>
          <w:kern w:val="0"/>
          <w:sz w:val="32"/>
          <w:szCs w:val="32"/>
          <w:u w:val="none"/>
          <w:lang w:val="en-US" w:eastAsia="zh-CN" w:bidi="ar"/>
        </w:rPr>
      </w:pPr>
      <w:r>
        <w:rPr>
          <w:rFonts w:ascii="Times New Roman" w:hAnsi="Times New Roman" w:eastAsia="仿宋"/>
          <w:b w:val="0"/>
          <w:bCs w:val="0"/>
          <w:color w:val="000000"/>
          <w:kern w:val="0"/>
          <w:sz w:val="32"/>
          <w:szCs w:val="32"/>
          <w:u w:val="none"/>
          <w:lang w:val="en-US" w:eastAsia="zh-CN" w:bidi="ar"/>
        </w:rPr>
        <w:t>6.</w:t>
      </w:r>
      <w:r>
        <w:rPr>
          <w:rFonts w:hint="eastAsia" w:ascii="Times New Roman" w:hAnsi="Times New Roman" w:eastAsia="仿宋"/>
          <w:b w:val="0"/>
          <w:bCs w:val="0"/>
          <w:color w:val="000000"/>
          <w:kern w:val="0"/>
          <w:sz w:val="32"/>
          <w:szCs w:val="32"/>
          <w:u w:val="none"/>
          <w:lang w:val="en-US" w:eastAsia="zh-CN" w:bidi="ar"/>
        </w:rPr>
        <w:t>参与编写教育部马工程教材或国家级规划教材1部，或主编六大出版</w:t>
      </w:r>
      <w:r>
        <w:rPr>
          <w:rFonts w:hint="eastAsia" w:ascii="Times New Roman" w:hAnsi="Times New Roman" w:eastAsia="仿宋_GB2312"/>
          <w:color w:val="000000"/>
          <w:sz w:val="32"/>
          <w:szCs w:val="32"/>
        </w:rPr>
        <w:t>社规划教材1部，或独立出版学术专著3部</w:t>
      </w:r>
      <w:r>
        <w:rPr>
          <w:rFonts w:hint="eastAsia" w:ascii="Times New Roman" w:hAnsi="Times New Roman" w:eastAsia="仿宋_GB2312"/>
          <w:color w:val="000000"/>
          <w:sz w:val="32"/>
          <w:szCs w:val="32"/>
          <w:lang w:eastAsia="zh-CN"/>
        </w:rPr>
        <w:t>合计</w:t>
      </w:r>
      <w:r>
        <w:rPr>
          <w:rFonts w:hint="eastAsia" w:ascii="Times New Roman" w:hAnsi="Times New Roman" w:eastAsia="仿宋_GB2312"/>
          <w:color w:val="000000"/>
          <w:sz w:val="32"/>
          <w:szCs w:val="32"/>
          <w:lang w:val="en-US" w:eastAsia="zh-CN"/>
        </w:rPr>
        <w:t>75</w:t>
      </w:r>
      <w:r>
        <w:rPr>
          <w:rFonts w:hint="eastAsia" w:ascii="Times New Roman" w:hAnsi="Times New Roman" w:eastAsia="仿宋_GB2312"/>
          <w:color w:val="000000"/>
          <w:sz w:val="32"/>
          <w:szCs w:val="32"/>
        </w:rPr>
        <w:t>万字</w:t>
      </w:r>
      <w:r>
        <w:rPr>
          <w:rFonts w:hint="eastAsia" w:ascii="Times New Roman" w:hAnsi="Times New Roman" w:eastAsia="仿宋_GB2312"/>
          <w:color w:val="000000"/>
          <w:sz w:val="32"/>
          <w:szCs w:val="32"/>
          <w:lang w:eastAsia="zh-CN"/>
        </w:rPr>
        <w:t>以上</w:t>
      </w:r>
      <w:r>
        <w:rPr>
          <w:rFonts w:hint="eastAsia" w:ascii="Times New Roman" w:hAnsi="Times New Roman" w:eastAsia="仿宋_GB2312"/>
          <w:color w:val="000000"/>
          <w:sz w:val="32"/>
          <w:szCs w:val="32"/>
        </w:rPr>
        <w:t>。</w:t>
      </w:r>
    </w:p>
    <w:p w14:paraId="0BEDAC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一</w:t>
      </w:r>
      <w:r>
        <w:rPr>
          <w:rFonts w:hint="eastAsia" w:ascii="Times New Roman" w:hAnsi="Times New Roman" w:eastAsia="仿宋" w:cs="仿宋"/>
          <w:sz w:val="32"/>
          <w:szCs w:val="32"/>
        </w:rPr>
        <w:t>条 具备条件的</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填写《</w:t>
      </w:r>
      <w:r>
        <w:rPr>
          <w:rFonts w:hint="eastAsia" w:ascii="Times New Roman" w:hAnsi="Times New Roman" w:eastAsia="仿宋" w:cs="仿宋"/>
          <w:sz w:val="32"/>
          <w:szCs w:val="32"/>
          <w:lang w:val="en-US" w:eastAsia="zh-CN"/>
        </w:rPr>
        <w:t>贵州省新文科重点</w:t>
      </w:r>
      <w:r>
        <w:rPr>
          <w:rFonts w:hint="eastAsia" w:ascii="Times New Roman" w:hAnsi="Times New Roman" w:eastAsia="仿宋" w:cs="仿宋"/>
          <w:sz w:val="32"/>
          <w:szCs w:val="32"/>
        </w:rPr>
        <w:t>实验室申报表》，审核后报</w:t>
      </w:r>
      <w:r>
        <w:rPr>
          <w:rFonts w:hint="eastAsia" w:ascii="Times New Roman" w:hAnsi="Times New Roman" w:eastAsia="仿宋" w:cs="仿宋"/>
          <w:sz w:val="32"/>
          <w:szCs w:val="32"/>
          <w:lang w:val="en-US" w:eastAsia="zh-CN"/>
        </w:rPr>
        <w:t>省社科联</w:t>
      </w: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省社科联、省科协</w:t>
      </w:r>
      <w:r>
        <w:rPr>
          <w:rFonts w:hint="eastAsia" w:ascii="Times New Roman" w:hAnsi="Times New Roman" w:eastAsia="仿宋" w:cs="仿宋"/>
          <w:sz w:val="32"/>
          <w:szCs w:val="32"/>
        </w:rPr>
        <w:t>组织专家评审并实地考察后，择优认定，分为试点和培育进行建设。认定后3个月内，</w:t>
      </w:r>
      <w:r>
        <w:rPr>
          <w:rFonts w:hint="eastAsia" w:ascii="Times New Roman" w:hAnsi="Times New Roman" w:eastAsia="仿宋" w:cs="仿宋"/>
          <w:sz w:val="32"/>
          <w:szCs w:val="32"/>
          <w:lang w:val="en-US" w:eastAsia="zh-CN"/>
        </w:rPr>
        <w:t>所</w:t>
      </w:r>
      <w:r>
        <w:rPr>
          <w:rFonts w:hint="eastAsia" w:ascii="Times New Roman" w:hAnsi="Times New Roman" w:eastAsia="仿宋" w:cs="仿宋"/>
          <w:sz w:val="32"/>
          <w:szCs w:val="32"/>
        </w:rPr>
        <w:t>依托</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聘任实验室</w:t>
      </w:r>
      <w:r>
        <w:rPr>
          <w:rFonts w:hint="eastAsia" w:ascii="Times New Roman" w:hAnsi="Times New Roman" w:eastAsia="仿宋" w:cs="仿宋"/>
          <w:sz w:val="32"/>
          <w:szCs w:val="32"/>
          <w:lang w:val="en-US" w:eastAsia="zh-CN"/>
        </w:rPr>
        <w:t>首席专家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主任</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、制定实验室建设计划，并报</w:t>
      </w:r>
      <w:r>
        <w:rPr>
          <w:rFonts w:hint="eastAsia" w:ascii="Times New Roman" w:hAnsi="Times New Roman" w:eastAsia="仿宋" w:cs="仿宋"/>
          <w:sz w:val="32"/>
          <w:szCs w:val="32"/>
          <w:lang w:val="en-US" w:eastAsia="zh-CN"/>
        </w:rPr>
        <w:t>省社科联</w:t>
      </w:r>
      <w:r>
        <w:rPr>
          <w:rFonts w:hint="eastAsia" w:ascii="Times New Roman" w:hAnsi="Times New Roman" w:eastAsia="仿宋" w:cs="仿宋"/>
          <w:sz w:val="32"/>
          <w:szCs w:val="32"/>
        </w:rPr>
        <w:t>备案。试点和培育建设任务完成后，由</w:t>
      </w:r>
      <w:r>
        <w:rPr>
          <w:rFonts w:hint="eastAsia" w:ascii="Times New Roman" w:hAnsi="Times New Roman" w:eastAsia="仿宋" w:cs="仿宋"/>
          <w:sz w:val="32"/>
          <w:szCs w:val="32"/>
          <w:lang w:val="en-US" w:eastAsia="zh-CN"/>
        </w:rPr>
        <w:t>省社科联、省科协</w:t>
      </w:r>
      <w:r>
        <w:rPr>
          <w:rFonts w:hint="eastAsia" w:ascii="Times New Roman" w:hAnsi="Times New Roman" w:eastAsia="仿宋" w:cs="仿宋"/>
          <w:sz w:val="32"/>
          <w:szCs w:val="32"/>
        </w:rPr>
        <w:t>组织开展考核。</w:t>
      </w:r>
    </w:p>
    <w:p w14:paraId="4FE96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rPr>
        <w:t>条 实验室</w:t>
      </w:r>
      <w:r>
        <w:rPr>
          <w:rFonts w:hint="eastAsia" w:ascii="Times New Roman" w:hAnsi="Times New Roman" w:eastAsia="仿宋" w:cs="仿宋"/>
          <w:sz w:val="32"/>
          <w:szCs w:val="32"/>
          <w:lang w:val="en-US" w:eastAsia="zh-CN"/>
        </w:rPr>
        <w:t>首席专家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主任</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由依托</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自主</w:t>
      </w:r>
      <w:r>
        <w:rPr>
          <w:rFonts w:hint="eastAsia" w:ascii="Times New Roman" w:hAnsi="Times New Roman" w:eastAsia="仿宋" w:cs="仿宋"/>
          <w:sz w:val="32"/>
          <w:szCs w:val="32"/>
          <w:lang w:val="en-US" w:eastAsia="zh-CN"/>
        </w:rPr>
        <w:t>确定</w:t>
      </w:r>
      <w:r>
        <w:rPr>
          <w:rFonts w:hint="eastAsia" w:ascii="Times New Roman" w:hAnsi="Times New Roman" w:eastAsia="仿宋" w:cs="仿宋"/>
          <w:sz w:val="32"/>
          <w:szCs w:val="32"/>
        </w:rPr>
        <w:t>、择优聘任。</w:t>
      </w:r>
      <w:r>
        <w:rPr>
          <w:rFonts w:hint="eastAsia" w:ascii="Times New Roman" w:hAnsi="Times New Roman" w:eastAsia="仿宋" w:cs="仿宋"/>
          <w:sz w:val="32"/>
          <w:szCs w:val="32"/>
          <w:lang w:val="en-US" w:eastAsia="zh-CN"/>
        </w:rPr>
        <w:t>首席专家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主任</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聘期5年。</w:t>
      </w:r>
    </w:p>
    <w:p w14:paraId="2113F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三</w:t>
      </w:r>
      <w:r>
        <w:rPr>
          <w:rFonts w:hint="eastAsia" w:ascii="Times New Roman" w:hAnsi="Times New Roman" w:eastAsia="仿宋" w:cs="仿宋"/>
          <w:sz w:val="32"/>
          <w:szCs w:val="32"/>
        </w:rPr>
        <w:t>条 实验室更名、变更研究方向或进行结构调整的，须由依托</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提出书面报告，报</w:t>
      </w:r>
      <w:r>
        <w:rPr>
          <w:rFonts w:hint="eastAsia" w:ascii="Times New Roman" w:hAnsi="Times New Roman" w:eastAsia="仿宋" w:cs="仿宋"/>
          <w:sz w:val="32"/>
          <w:szCs w:val="32"/>
          <w:lang w:val="en-US" w:eastAsia="zh-CN"/>
        </w:rPr>
        <w:t>省社科联</w:t>
      </w:r>
      <w:r>
        <w:rPr>
          <w:rFonts w:hint="eastAsia" w:ascii="Times New Roman" w:hAnsi="Times New Roman" w:eastAsia="仿宋" w:cs="仿宋"/>
          <w:sz w:val="32"/>
          <w:szCs w:val="32"/>
        </w:rPr>
        <w:t>审批。</w:t>
      </w:r>
    </w:p>
    <w:p w14:paraId="715A8D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四</w:t>
      </w:r>
      <w:r>
        <w:rPr>
          <w:rFonts w:hint="eastAsia" w:ascii="Times New Roman" w:hAnsi="Times New Roman" w:eastAsia="仿宋" w:cs="仿宋"/>
          <w:sz w:val="32"/>
          <w:szCs w:val="32"/>
        </w:rPr>
        <w:t xml:space="preserve">条 </w:t>
      </w:r>
      <w:r>
        <w:rPr>
          <w:rFonts w:hint="eastAsia" w:ascii="Times New Roman" w:hAnsi="Times New Roman" w:eastAsia="仿宋" w:cs="仿宋"/>
          <w:sz w:val="32"/>
          <w:szCs w:val="32"/>
          <w:lang w:val="en-US" w:eastAsia="zh-CN"/>
        </w:rPr>
        <w:t>省社科联、省科协通过项目资助等方式给予一定</w:t>
      </w:r>
      <w:r>
        <w:rPr>
          <w:rFonts w:hint="eastAsia" w:ascii="Times New Roman" w:hAnsi="Times New Roman" w:eastAsia="仿宋" w:cs="仿宋"/>
          <w:sz w:val="32"/>
          <w:szCs w:val="32"/>
        </w:rPr>
        <w:t>经费</w:t>
      </w:r>
      <w:r>
        <w:rPr>
          <w:rFonts w:hint="eastAsia" w:ascii="Times New Roman" w:hAnsi="Times New Roman" w:eastAsia="仿宋" w:cs="仿宋"/>
          <w:sz w:val="32"/>
          <w:szCs w:val="32"/>
          <w:lang w:val="en-US" w:eastAsia="zh-CN"/>
        </w:rPr>
        <w:t>支持</w:t>
      </w:r>
      <w:r>
        <w:rPr>
          <w:rFonts w:hint="eastAsia" w:ascii="Times New Roman" w:hAnsi="Times New Roman" w:eastAsia="仿宋" w:cs="仿宋"/>
          <w:sz w:val="32"/>
          <w:szCs w:val="32"/>
        </w:rPr>
        <w:t>，专款专用。</w:t>
      </w:r>
    </w:p>
    <w:p w14:paraId="204834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五</w:t>
      </w:r>
      <w:r>
        <w:rPr>
          <w:rFonts w:hint="eastAsia" w:ascii="Times New Roman" w:hAnsi="Times New Roman" w:eastAsia="仿宋" w:cs="仿宋"/>
          <w:sz w:val="32"/>
          <w:szCs w:val="32"/>
        </w:rPr>
        <w:t>条 实验室须按要求于每年年底提交年度工作总结，经依托</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审核后报</w:t>
      </w:r>
      <w:r>
        <w:rPr>
          <w:rFonts w:hint="eastAsia" w:ascii="Times New Roman" w:hAnsi="Times New Roman" w:eastAsia="仿宋" w:cs="仿宋"/>
          <w:sz w:val="32"/>
          <w:szCs w:val="32"/>
          <w:lang w:val="en-US" w:eastAsia="zh-CN"/>
        </w:rPr>
        <w:t>省社科联</w:t>
      </w: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省社科联、省科协</w:t>
      </w:r>
      <w:r>
        <w:rPr>
          <w:rFonts w:hint="eastAsia" w:ascii="Times New Roman" w:hAnsi="Times New Roman" w:eastAsia="仿宋" w:cs="仿宋"/>
          <w:sz w:val="32"/>
          <w:szCs w:val="32"/>
        </w:rPr>
        <w:t>对实验室进行建设周期评估，一般5年为一个周期。建设周期评估主要对实验室建设成效进行综合评价，主要包括研究方法创新、学科交叉融合、数据资源建设、代表性成果、内部管理机制等方面。建设周期评估程序分为现场评估和综合评估，结果分为优秀、合格和不合格。</w:t>
      </w:r>
    </w:p>
    <w:p w14:paraId="5A10B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六</w:t>
      </w:r>
      <w:r>
        <w:rPr>
          <w:rFonts w:hint="eastAsia" w:ascii="Times New Roman" w:hAnsi="Times New Roman" w:eastAsia="仿宋" w:cs="仿宋"/>
          <w:sz w:val="32"/>
          <w:szCs w:val="32"/>
        </w:rPr>
        <w:t>条 实验室统一命名为“</w:t>
      </w:r>
      <w:r>
        <w:rPr>
          <w:rFonts w:hint="eastAsia" w:ascii="Times New Roman" w:hAnsi="Times New Roman" w:eastAsia="仿宋" w:cs="仿宋"/>
          <w:sz w:val="32"/>
          <w:szCs w:val="32"/>
          <w:lang w:val="en-US" w:eastAsia="zh-CN"/>
        </w:rPr>
        <w:t>贵州省</w:t>
      </w:r>
      <w:r>
        <w:rPr>
          <w:rFonts w:hint="eastAsia" w:ascii="Times New Roman" w:hAnsi="Times New Roman" w:eastAsia="仿宋" w:cs="仿宋"/>
          <w:sz w:val="32"/>
          <w:szCs w:val="32"/>
        </w:rPr>
        <w:t>哲学社会科学XX</w:t>
      </w:r>
      <w:r>
        <w:rPr>
          <w:rFonts w:hint="eastAsia" w:ascii="Times New Roman" w:hAnsi="Times New Roman" w:eastAsia="仿宋" w:cs="仿宋"/>
          <w:sz w:val="32"/>
          <w:szCs w:val="32"/>
          <w:lang w:val="en-US" w:eastAsia="zh-CN"/>
        </w:rPr>
        <w:t>单位</w:t>
      </w:r>
      <w:r>
        <w:rPr>
          <w:rFonts w:hint="eastAsia" w:ascii="Times New Roman" w:hAnsi="Times New Roman" w:eastAsia="仿宋" w:cs="仿宋"/>
          <w:sz w:val="32"/>
          <w:szCs w:val="32"/>
        </w:rPr>
        <w:t>新文科XX</w:t>
      </w:r>
      <w:r>
        <w:rPr>
          <w:rFonts w:hint="eastAsia" w:ascii="Times New Roman" w:hAnsi="Times New Roman" w:eastAsia="仿宋" w:cs="仿宋"/>
          <w:sz w:val="32"/>
          <w:szCs w:val="32"/>
          <w:lang w:val="en-US" w:eastAsia="zh-CN"/>
        </w:rPr>
        <w:t>研究省</w:t>
      </w:r>
      <w:r>
        <w:rPr>
          <w:rFonts w:hint="eastAsia" w:ascii="Times New Roman" w:hAnsi="Times New Roman" w:eastAsia="仿宋" w:cs="仿宋"/>
          <w:sz w:val="32"/>
          <w:szCs w:val="32"/>
        </w:rPr>
        <w:t>重点实验室”。</w:t>
      </w:r>
    </w:p>
    <w:p w14:paraId="12AA1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第十</w:t>
      </w:r>
      <w:r>
        <w:rPr>
          <w:rFonts w:hint="eastAsia" w:ascii="Times New Roman" w:hAnsi="Times New Roman" w:eastAsia="仿宋" w:cs="仿宋"/>
          <w:sz w:val="32"/>
          <w:szCs w:val="32"/>
          <w:lang w:val="en-US" w:eastAsia="zh-CN"/>
        </w:rPr>
        <w:t>七</w:t>
      </w:r>
      <w:r>
        <w:rPr>
          <w:rFonts w:hint="eastAsia" w:ascii="Times New Roman" w:hAnsi="Times New Roman" w:eastAsia="仿宋" w:cs="仿宋"/>
          <w:sz w:val="32"/>
          <w:szCs w:val="32"/>
        </w:rPr>
        <w:t>条 本办法自印发之日起施行，由省</w:t>
      </w:r>
      <w:r>
        <w:rPr>
          <w:rFonts w:hint="eastAsia" w:ascii="Times New Roman" w:hAnsi="Times New Roman" w:eastAsia="仿宋" w:cs="仿宋"/>
          <w:sz w:val="32"/>
          <w:szCs w:val="32"/>
          <w:lang w:val="en-US" w:eastAsia="zh-CN"/>
        </w:rPr>
        <w:t>社科联、省科协负</w:t>
      </w:r>
      <w:r>
        <w:rPr>
          <w:rFonts w:hint="eastAsia" w:ascii="Times New Roman" w:hAnsi="Times New Roman" w:eastAsia="仿宋" w:cs="仿宋"/>
          <w:sz w:val="32"/>
          <w:szCs w:val="32"/>
        </w:rPr>
        <w:t>责解释。</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ingLiU">
    <w:altName w:val="MT Extra"/>
    <w:panose1 w:val="02020509000000000000"/>
    <w:charset w:val="00"/>
    <w:family w:val="modern"/>
    <w:pitch w:val="default"/>
    <w:sig w:usb0="00000000" w:usb1="00000000" w:usb2="00000016" w:usb3="00000000" w:csb0="00100001" w:csb1="00000000"/>
  </w:font>
  <w:font w:name="MT Extra">
    <w:panose1 w:val="05050102010205020202"/>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86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-448945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5FEF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35pt;height:144pt;width:144pt;mso-position-horizontal:outside;mso-position-horizontal-relative:margin;mso-wrap-style:none;z-index:251659264;mso-width-relative:page;mso-height-relative:page;" filled="f" stroked="f" coordsize="21600,21600" o:gfxdata="UEsDBAoAAAAAAIdO4kAAAAAAAAAAAAAAAAAEAAAAZHJzL1BLAwQUAAAACACHTuJAXytErNYAAAAI&#10;AQAADwAAAGRycy9kb3ducmV2LnhtbE2PzU7DMBCE70i8g7VI3Fo7LSJRiFOJinBEouHA0Y2XJK1/&#10;IttNw9uznOC2uzOa/abaLdawGUMcvZOQrQUwdJ3Xo+slfLTNqgAWk3JaGe9QwjdG2NW3N5Uqtb+6&#10;d5wPqWcU4mKpJAwpTSXnsRvQqrj2EzrSvnywKtEaeq6DulK4NXwjxCO3anT0YVAT7gfszoeLlbBv&#10;2jbMGIP5xNdme3p7fsCXRcr7u0w8AUu4pD8z/OITOtTEdPQXpyMzEqhIkrDKRQ6M5E1R0OVIQ5Zv&#10;gdcV/1+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ytErNYAAAAIAQAADwAAAAAAAAAB&#10;ACAAAAAiAAAAZHJzL2Rvd25yZXYueG1sUEsBAhQAFAAAAAgAh07iQErbzf8SAgAAEwQAAA4AAAAA&#10;AAAAAQAgAAAAJQEAAGRycy9lMm9Eb2MueG1sUEsFBgAAAAAGAAYAWQEAAKkFAAAAAAAA&#10;">
              <v:fill on="f" focussize="0,0"/>
              <v:stroke on="f" weight="0.5pt"/>
              <v:imagedata o:title=""/>
              <o:lock v:ext="edit" aspectratio="f"/>
              <v:textbox inset="0mm,0mm,0mm,0mm" style="mso-fit-shape-to-text:t;">
                <w:txbxContent>
                  <w:p w14:paraId="3D75FEF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1"/>
    <w:pPr>
      <w:ind w:left="91"/>
    </w:pPr>
    <w:rPr>
      <w:rFonts w:ascii="宋体" w:hAnsi="宋体" w:eastAsia="宋体"/>
      <w:sz w:val="31"/>
      <w:szCs w:val="31"/>
    </w:rPr>
  </w:style>
  <w:style w:type="paragraph" w:styleId="3">
    <w:name w:val="table of authorities"/>
    <w:basedOn w:val="1"/>
    <w:next w:val="1"/>
    <w:qFormat/>
    <w:uiPriority w:val="0"/>
    <w:pPr>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1">
    <w:name w:val="font71"/>
    <w:basedOn w:val="8"/>
    <w:qFormat/>
    <w:uiPriority w:val="0"/>
    <w:rPr>
      <w:rFonts w:hint="eastAsia" w:ascii="宋体" w:hAnsi="宋体" w:eastAsia="宋体" w:cs="宋体"/>
      <w:color w:val="FF0000"/>
      <w:sz w:val="48"/>
      <w:szCs w:val="48"/>
      <w:u w:val="none"/>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FF0000"/>
      <w:sz w:val="22"/>
      <w:szCs w:val="22"/>
      <w:u w:val="none"/>
    </w:rPr>
  </w:style>
  <w:style w:type="character" w:customStyle="1" w:styleId="14">
    <w:name w:val="font51"/>
    <w:basedOn w:val="8"/>
    <w:qFormat/>
    <w:uiPriority w:val="0"/>
    <w:rPr>
      <w:rFonts w:hint="default" w:ascii="Times New Roman" w:hAnsi="Times New Roman" w:cs="Times New Roman"/>
      <w:color w:val="000000"/>
      <w:sz w:val="22"/>
      <w:szCs w:val="22"/>
      <w:u w:val="none"/>
    </w:rPr>
  </w:style>
  <w:style w:type="character" w:customStyle="1" w:styleId="15">
    <w:name w:val="font61"/>
    <w:basedOn w:val="8"/>
    <w:qFormat/>
    <w:uiPriority w:val="0"/>
    <w:rPr>
      <w:rFonts w:hint="default" w:ascii="Times New Roman" w:hAnsi="Times New Roman" w:cs="Times New Roman"/>
      <w:color w:val="FF0000"/>
      <w:sz w:val="22"/>
      <w:szCs w:val="22"/>
      <w:u w:val="none"/>
    </w:rPr>
  </w:style>
  <w:style w:type="character" w:customStyle="1" w:styleId="16">
    <w:name w:val="标题 #1"/>
    <w:basedOn w:val="17"/>
    <w:qFormat/>
    <w:uiPriority w:val="99"/>
  </w:style>
  <w:style w:type="character" w:customStyle="1" w:styleId="17">
    <w:name w:val="标题 #1_"/>
    <w:basedOn w:val="8"/>
    <w:link w:val="18"/>
    <w:qFormat/>
    <w:locked/>
    <w:uiPriority w:val="99"/>
    <w:rPr>
      <w:rFonts w:ascii="MingLiU" w:hAnsi="Times New Roman" w:eastAsia="MingLiU" w:cs="MingLiU"/>
      <w:w w:val="70"/>
      <w:kern w:val="0"/>
      <w:sz w:val="132"/>
      <w:szCs w:val="132"/>
    </w:rPr>
  </w:style>
  <w:style w:type="paragraph" w:customStyle="1" w:styleId="18">
    <w:name w:val="标题 #11"/>
    <w:basedOn w:val="1"/>
    <w:link w:val="17"/>
    <w:qFormat/>
    <w:uiPriority w:val="99"/>
    <w:pPr>
      <w:shd w:val="clear" w:color="auto" w:fill="FFFFFF"/>
      <w:spacing w:after="1020" w:line="240" w:lineRule="atLeast"/>
      <w:jc w:val="left"/>
      <w:outlineLvl w:val="0"/>
    </w:pPr>
    <w:rPr>
      <w:rFonts w:ascii="MingLiU" w:hAnsi="Times New Roman" w:eastAsia="MingLiU" w:cs="MingLiU"/>
      <w:w w:val="70"/>
      <w:kern w:val="0"/>
      <w:sz w:val="132"/>
      <w:szCs w:val="1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5274</Words>
  <Characters>5332</Characters>
  <Lines>0</Lines>
  <Paragraphs>0</Paragraphs>
  <TotalTime>0</TotalTime>
  <ScaleCrop>false</ScaleCrop>
  <LinksUpToDate>false</LinksUpToDate>
  <CharactersWithSpaces>5351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2026-01-07T00:48:00Z</dcterms:created>
  <dc:creator>Administrator</dc:creator>
  <cp:lastModifiedBy>iPhone</cp:lastModifiedBy>
  <cp:lastPrinted>2026-05-14T08:55:00Z</cp:lastPrinted>
  <dcterms:modified xsi:type="dcterms:W3CDTF">2026-05-15T17:38:29Z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2052-12.45.0</vt:lpwstr>
  </property>
  <property fmtid="{D5CDD505-2E9C-101B-9397-08002B2CF9AE}" pid="3" name="ICV">
    <vt:lpwstr>9AA7B0D28DEC0DCF95E9066A004E9E1C_33</vt:lpwstr>
  </property>
  <property fmtid="{D5CDD505-2E9C-101B-9397-08002B2CF9AE}" pid="4" name="KSOTemplateDocerSaveRecord">
    <vt:lpwstr>eyJoZGlkIjoiNDdmY2FhYTk0YjBjYzA4Njk4YjIyMjJhZTQ0ODQzMTYiLCJ1c2VySWQiOiIzMzY5MTQyMDIifQ==</vt:lpwstr>
  </property>
</Properties>
</file>